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989A6">
      <w:pPr>
        <w:pStyle w:val="7"/>
        <w:numPr>
          <w:ilvl w:val="0"/>
          <w:numId w:val="0"/>
        </w:numPr>
        <w:jc w:val="center"/>
        <w:outlineLvl w:val="1"/>
        <w:rPr>
          <w:rFonts w:hint="eastAsia" w:ascii="黑体" w:hAnsi="宋体" w:eastAsia="黑体"/>
          <w:sz w:val="44"/>
          <w:szCs w:val="44"/>
          <w:highlight w:val="none"/>
        </w:rPr>
      </w:pPr>
      <w:r>
        <w:rPr>
          <w:rFonts w:hint="eastAsia" w:ascii="黑体" w:hAnsi="宋体" w:eastAsia="黑体"/>
          <w:sz w:val="44"/>
          <w:szCs w:val="44"/>
          <w:highlight w:val="none"/>
        </w:rPr>
        <w:t>政府采购合同格式</w:t>
      </w:r>
    </w:p>
    <w:p w14:paraId="360B1B61">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07BEE22E">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044CA310">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47A8126F">
      <w:pPr>
        <w:pStyle w:val="8"/>
        <w:spacing w:line="360" w:lineRule="auto"/>
        <w:ind w:firstLine="420"/>
        <w:rPr>
          <w:rFonts w:hint="eastAsia" w:ascii="宋体" w:hAnsi="宋体" w:eastAsiaTheme="minorEastAsia"/>
          <w:sz w:val="21"/>
          <w:szCs w:val="21"/>
          <w:highlight w:val="none"/>
          <w:lang w:eastAsia="zh-CN"/>
        </w:rPr>
      </w:pPr>
      <w:r>
        <w:rPr>
          <w:rFonts w:hint="eastAsia" w:ascii="宋体" w:hAnsi="宋体"/>
          <w:sz w:val="21"/>
          <w:szCs w:val="21"/>
          <w:highlight w:val="none"/>
        </w:rPr>
        <w:t>采购人（甲方）：</w:t>
      </w:r>
      <w:r>
        <w:rPr>
          <w:rFonts w:hint="eastAsia" w:ascii="宋体" w:hAnsi="宋体"/>
          <w:sz w:val="21"/>
          <w:szCs w:val="21"/>
          <w:highlight w:val="none"/>
          <w:lang w:eastAsia="zh-CN"/>
        </w:rPr>
        <w:t>西安市高新区秦渡街道办事处</w:t>
      </w:r>
    </w:p>
    <w:p w14:paraId="73597194">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28706D7D">
      <w:pPr>
        <w:pStyle w:val="8"/>
        <w:ind w:firstLine="562"/>
        <w:rPr>
          <w:rFonts w:hint="eastAsia" w:ascii="仿宋_GB2312" w:hAnsi="宋体" w:eastAsia="仿宋_GB2312"/>
          <w:b/>
          <w:sz w:val="28"/>
          <w:szCs w:val="28"/>
          <w:highlight w:val="none"/>
        </w:rPr>
      </w:pPr>
    </w:p>
    <w:p w14:paraId="022C3BB1">
      <w:pPr>
        <w:pStyle w:val="8"/>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r>
        <w:rPr>
          <w:rFonts w:hint="eastAsia" w:ascii="宋体" w:hAnsi="宋体"/>
          <w:sz w:val="21"/>
          <w:szCs w:val="21"/>
          <w:highlight w:val="none"/>
          <w:u w:val="single"/>
          <w:lang w:eastAsia="zh-CN"/>
        </w:rPr>
        <w:t>秦渡街道污水收集与处理服务项目</w:t>
      </w:r>
      <w:r>
        <w:rPr>
          <w:rFonts w:hint="eastAsia" w:ascii="宋体" w:hAnsi="宋体"/>
          <w:sz w:val="21"/>
          <w:szCs w:val="21"/>
          <w:highlight w:val="none"/>
        </w:rPr>
        <w:t>（采购项目编号：</w:t>
      </w:r>
      <w:r>
        <w:rPr>
          <w:rFonts w:hint="eastAsia" w:ascii="宋体" w:hAnsi="宋体"/>
          <w:sz w:val="21"/>
          <w:szCs w:val="21"/>
          <w:highlight w:val="none"/>
          <w:u w:val="single"/>
          <w:lang w:val="en-US" w:eastAsia="zh-CN"/>
        </w:rPr>
        <w:t>ZD0725-003ZGX</w:t>
      </w:r>
      <w:r>
        <w:rPr>
          <w:rFonts w:hint="eastAsia" w:ascii="宋体" w:hAnsi="宋体"/>
          <w:sz w:val="21"/>
          <w:szCs w:val="21"/>
          <w:highlight w:val="none"/>
        </w:rPr>
        <w:t>）的采购文件、响应文件等有关规定，为确保甲方采购项目的顺利实施，甲、乙双方在平等自愿原则下签订本合同，并共同遵守如下条款：</w:t>
      </w:r>
    </w:p>
    <w:p w14:paraId="135B3506">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r>
        <w:rPr>
          <w:rFonts w:hint="eastAsia" w:ascii="宋体" w:hAnsi="宋体"/>
          <w:b/>
          <w:sz w:val="30"/>
          <w:szCs w:val="30"/>
          <w:highlight w:val="none"/>
        </w:rPr>
        <w:t>项目基本情况</w:t>
      </w:r>
    </w:p>
    <w:p w14:paraId="30C7B990">
      <w:pPr>
        <w:spacing w:line="360" w:lineRule="auto"/>
        <w:ind w:firstLine="63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秦渡街道常住居民约4.8万人，污水主要来源厨房、洗漱、厕所、洗衣等生活污水。为了能够有效改善秦渡街道居民的生活水平及生活质量，促进秦渡街道人居环境及经济和谐发展，现拟定将此部分污水后委托有资质服务机构进行合理的保障性处理，确保处理后出水水质执行《城镇污水处理厂污染物排放标准》（GB18918-2002）一级A标准，尾水排至沣河。</w:t>
      </w:r>
    </w:p>
    <w:p w14:paraId="10D87C9B">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highlight w:val="none"/>
        </w:rPr>
      </w:pPr>
      <w:r>
        <w:rPr>
          <w:rFonts w:hint="eastAsia" w:ascii="宋体" w:hAnsi="宋体"/>
          <w:b/>
          <w:sz w:val="30"/>
          <w:szCs w:val="30"/>
          <w:highlight w:val="none"/>
        </w:rPr>
        <w:t>合同期限</w:t>
      </w:r>
    </w:p>
    <w:p w14:paraId="37C21972">
      <w:pPr>
        <w:spacing w:line="360" w:lineRule="auto"/>
        <w:ind w:firstLine="420" w:firstLineChars="200"/>
        <w:rPr>
          <w:rFonts w:hint="default" w:ascii="宋体" w:hAnsi="宋体" w:eastAsiaTheme="minorEastAsia"/>
          <w:szCs w:val="21"/>
          <w:highlight w:val="none"/>
          <w:lang w:val="en-US" w:eastAsia="zh-CN"/>
        </w:rPr>
      </w:pPr>
    </w:p>
    <w:p w14:paraId="28D8EEBA">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bookmarkStart w:id="0" w:name="_Toc239568418"/>
      <w:bookmarkStart w:id="1" w:name="_Toc225654644"/>
      <w:bookmarkStart w:id="2" w:name="_Toc286993786"/>
      <w:bookmarkStart w:id="3" w:name="_Toc282696226"/>
      <w:bookmarkStart w:id="4" w:name="_Toc225670751"/>
      <w:bookmarkStart w:id="5" w:name="_Toc232492928"/>
      <w:bookmarkStart w:id="6" w:name="_Toc211854449"/>
      <w:bookmarkStart w:id="7" w:name="_Toc239233914"/>
      <w:bookmarkStart w:id="8" w:name="_Toc237145406"/>
      <w:bookmarkStart w:id="9" w:name="_Toc185395249"/>
      <w:bookmarkStart w:id="10" w:name="_Toc225244852"/>
      <w:bookmarkStart w:id="11" w:name="_Toc283019214"/>
      <w:bookmarkStart w:id="12" w:name="_Toc238984975"/>
      <w:bookmarkStart w:id="13" w:name="_Toc247334841"/>
      <w:bookmarkStart w:id="14" w:name="_Toc212019594"/>
      <w:bookmarkStart w:id="15" w:name="_Toc251768862"/>
      <w:bookmarkStart w:id="16" w:name="_Toc211911348"/>
      <w:bookmarkStart w:id="17" w:name="_Toc241833903"/>
      <w:r>
        <w:rPr>
          <w:rFonts w:hint="eastAsia" w:ascii="宋体" w:hAnsi="宋体"/>
          <w:b/>
          <w:sz w:val="30"/>
          <w:szCs w:val="30"/>
          <w:highlight w:val="none"/>
        </w:rPr>
        <w:t>服务内容与质量标准</w:t>
      </w:r>
    </w:p>
    <w:p w14:paraId="30FF0DF5">
      <w:pPr>
        <w:spacing w:line="360" w:lineRule="auto"/>
        <w:ind w:firstLine="630"/>
        <w:rPr>
          <w:rFonts w:hint="eastAsia" w:ascii="宋体" w:hAnsi="宋体"/>
          <w:szCs w:val="21"/>
          <w:highlight w:val="none"/>
        </w:rPr>
      </w:pPr>
      <w:r>
        <w:rPr>
          <w:rFonts w:hint="eastAsia" w:ascii="宋体" w:hAnsi="宋体"/>
          <w:szCs w:val="21"/>
          <w:highlight w:val="none"/>
        </w:rPr>
        <w:t>1、深入现场开展村庄规划调研及分析工作，结合调研情况和村庄类型，围绕底线约束、资源禀赋、历史文化、交通区位、人口、产业、土地利用情况、设施建设情况等方面展开分析评价，总结提炼村庄的特点、优势、发展需求和主要问题。</w:t>
      </w:r>
    </w:p>
    <w:p w14:paraId="7532486A">
      <w:pPr>
        <w:spacing w:line="360" w:lineRule="auto"/>
        <w:ind w:firstLine="630"/>
        <w:rPr>
          <w:rFonts w:hint="eastAsia" w:ascii="宋体" w:hAnsi="宋体"/>
          <w:szCs w:val="21"/>
          <w:highlight w:val="none"/>
        </w:rPr>
      </w:pPr>
      <w:r>
        <w:rPr>
          <w:rFonts w:hint="eastAsia" w:ascii="宋体" w:hAnsi="宋体"/>
          <w:szCs w:val="21"/>
          <w:highlight w:val="none"/>
        </w:rPr>
        <w:t>2、明确村庄发展目标定位，科学预测村域人口和用地规模，严格落实刚性管控红线。</w:t>
      </w:r>
    </w:p>
    <w:p w14:paraId="58379AA9">
      <w:pPr>
        <w:spacing w:line="360" w:lineRule="auto"/>
        <w:ind w:firstLine="630"/>
        <w:rPr>
          <w:rFonts w:hint="eastAsia" w:ascii="宋体" w:hAnsi="宋体"/>
          <w:szCs w:val="21"/>
          <w:highlight w:val="none"/>
        </w:rPr>
      </w:pPr>
      <w:r>
        <w:rPr>
          <w:rFonts w:hint="eastAsia" w:ascii="宋体" w:hAnsi="宋体"/>
          <w:szCs w:val="21"/>
          <w:highlight w:val="none"/>
        </w:rPr>
        <w:t>3、优化调整村庄各类用地布局，统筹安排生态用地、农用地、村庄建设用地和其他建设用地。</w:t>
      </w:r>
    </w:p>
    <w:p w14:paraId="25AD4F17">
      <w:pPr>
        <w:spacing w:line="360" w:lineRule="auto"/>
        <w:ind w:firstLine="630"/>
        <w:rPr>
          <w:rFonts w:hint="eastAsia" w:ascii="宋体" w:hAnsi="宋体"/>
          <w:szCs w:val="21"/>
          <w:highlight w:val="none"/>
        </w:rPr>
      </w:pPr>
      <w:r>
        <w:rPr>
          <w:rFonts w:hint="eastAsia" w:ascii="宋体" w:hAnsi="宋体"/>
          <w:szCs w:val="21"/>
          <w:highlight w:val="none"/>
        </w:rPr>
        <w:t>4、完善村庄基础设施体系，提升村庄基础设施服务水平，包括道路交通、给水、排水、电力等设施。</w:t>
      </w:r>
    </w:p>
    <w:p w14:paraId="4CB9D61E">
      <w:pPr>
        <w:spacing w:line="360" w:lineRule="auto"/>
        <w:ind w:firstLine="630"/>
        <w:rPr>
          <w:rFonts w:hint="eastAsia" w:ascii="宋体" w:hAnsi="宋体"/>
          <w:szCs w:val="21"/>
          <w:highlight w:val="none"/>
        </w:rPr>
      </w:pPr>
      <w:r>
        <w:rPr>
          <w:rFonts w:hint="eastAsia" w:ascii="宋体" w:hAnsi="宋体"/>
          <w:szCs w:val="21"/>
          <w:highlight w:val="none"/>
        </w:rPr>
        <w:t>5、配套完善村庄公共服务设施，鼓励有条件的连线连片村庄设施共建共享。</w:t>
      </w:r>
    </w:p>
    <w:p w14:paraId="4C81E62F">
      <w:pPr>
        <w:spacing w:line="360" w:lineRule="auto"/>
        <w:ind w:firstLine="630"/>
        <w:rPr>
          <w:rFonts w:hint="eastAsia" w:ascii="宋体" w:hAnsi="宋体"/>
          <w:szCs w:val="21"/>
          <w:highlight w:val="none"/>
        </w:rPr>
      </w:pPr>
      <w:r>
        <w:rPr>
          <w:rFonts w:hint="eastAsia" w:ascii="宋体" w:hAnsi="宋体"/>
          <w:szCs w:val="21"/>
          <w:highlight w:val="none"/>
        </w:rPr>
        <w:t>6、结合高新区和秦渡街道产业发展策略、产业布局和村庄特色资源，明确村庄发展思路，确定村庄主导产业。</w:t>
      </w:r>
    </w:p>
    <w:p w14:paraId="45A11A46">
      <w:pPr>
        <w:spacing w:line="360" w:lineRule="auto"/>
        <w:ind w:firstLine="630"/>
        <w:rPr>
          <w:rFonts w:hint="eastAsia" w:ascii="宋体" w:hAnsi="宋体"/>
          <w:szCs w:val="21"/>
          <w:highlight w:val="none"/>
        </w:rPr>
      </w:pPr>
      <w:r>
        <w:rPr>
          <w:rFonts w:hint="eastAsia" w:ascii="宋体" w:hAnsi="宋体"/>
          <w:szCs w:val="21"/>
          <w:highlight w:val="none"/>
        </w:rPr>
        <w:t>7、落实上位规划确定的农村居民点布局和建设用地管控要求，合理确定村民住房规模、布局和建设要求。</w:t>
      </w:r>
    </w:p>
    <w:p w14:paraId="32BEE170">
      <w:pPr>
        <w:spacing w:line="360" w:lineRule="auto"/>
        <w:ind w:firstLine="630"/>
        <w:rPr>
          <w:rFonts w:hint="eastAsia" w:ascii="宋体" w:hAnsi="宋体"/>
          <w:szCs w:val="21"/>
          <w:highlight w:val="none"/>
        </w:rPr>
      </w:pPr>
      <w:r>
        <w:rPr>
          <w:rFonts w:hint="eastAsia" w:ascii="宋体" w:hAnsi="宋体"/>
          <w:szCs w:val="21"/>
          <w:highlight w:val="none"/>
        </w:rPr>
        <w:t>8、在落实生态保护红线划定成果基础上，进一步明确森林、河流、湖泊、湿地、草原等生态空间，提出优化乡村水系、林网、绿道等的任务和措施。</w:t>
      </w:r>
    </w:p>
    <w:p w14:paraId="1450BA5A">
      <w:pPr>
        <w:spacing w:line="360" w:lineRule="auto"/>
        <w:ind w:firstLine="630"/>
        <w:rPr>
          <w:rFonts w:hint="eastAsia" w:ascii="宋体" w:hAnsi="宋体"/>
          <w:szCs w:val="21"/>
          <w:highlight w:val="none"/>
        </w:rPr>
      </w:pPr>
      <w:r>
        <w:rPr>
          <w:rFonts w:hint="eastAsia" w:ascii="宋体" w:hAnsi="宋体"/>
          <w:szCs w:val="21"/>
          <w:highlight w:val="none"/>
        </w:rPr>
        <w:t>9、根据村庄所处的地理环境，综合考虑各类灾害的影响，落实相关专项规划要求，划定灾害影响范围和安全防护范围，提出综合防灾减灾目标，提出防灾减灾的措施，确定相应设施建设标准。</w:t>
      </w:r>
    </w:p>
    <w:p w14:paraId="174649FC">
      <w:pPr>
        <w:spacing w:line="360" w:lineRule="auto"/>
        <w:ind w:firstLine="630"/>
        <w:rPr>
          <w:rFonts w:hint="eastAsia" w:ascii="宋体" w:hAnsi="宋体"/>
          <w:szCs w:val="21"/>
          <w:highlight w:val="none"/>
        </w:rPr>
      </w:pPr>
      <w:r>
        <w:rPr>
          <w:rFonts w:hint="eastAsia" w:ascii="宋体" w:hAnsi="宋体"/>
          <w:szCs w:val="21"/>
          <w:highlight w:val="none"/>
        </w:rPr>
        <w:t>10、提出近期村民建房、生态保护修复与综合整治、产业发展、道路交通建设、基础设施和公共服务设施配套等项目，明确实施时序，制定近期建设项目表。</w:t>
      </w:r>
    </w:p>
    <w:p w14:paraId="26FB5654">
      <w:pPr>
        <w:numPr>
          <w:ilvl w:val="0"/>
          <w:numId w:val="1"/>
        </w:numPr>
        <w:tabs>
          <w:tab w:val="left" w:pos="1379"/>
          <w:tab w:val="clear" w:pos="1521"/>
        </w:tabs>
        <w:spacing w:before="120" w:beforeLines="50" w:after="120" w:afterLines="50" w:line="360" w:lineRule="auto"/>
        <w:ind w:left="1661" w:hanging="1094"/>
        <w:rPr>
          <w:rFonts w:hint="eastAsia" w:ascii="宋体" w:hAnsi="宋体"/>
          <w:b/>
          <w:sz w:val="30"/>
          <w:szCs w:val="30"/>
          <w:highlight w:val="none"/>
        </w:rPr>
      </w:pPr>
      <w:r>
        <w:rPr>
          <w:rFonts w:hint="eastAsia" w:ascii="宋体" w:hAnsi="宋体"/>
          <w:b/>
          <w:sz w:val="30"/>
          <w:szCs w:val="30"/>
          <w:highlight w:val="none"/>
        </w:rPr>
        <w:t>服务费用</w:t>
      </w:r>
    </w:p>
    <w:p w14:paraId="44B49C5D">
      <w:pPr>
        <w:pStyle w:val="3"/>
        <w:spacing w:before="0" w:after="0" w:line="360" w:lineRule="auto"/>
        <w:ind w:firstLine="411" w:firstLineChars="196"/>
        <w:rPr>
          <w:rFonts w:hint="eastAsia" w:ascii="宋体" w:hAnsi="宋体" w:eastAsia="宋体"/>
          <w:b w:val="0"/>
          <w:sz w:val="21"/>
          <w:szCs w:val="21"/>
          <w:highlight w:val="none"/>
        </w:rPr>
      </w:pPr>
      <w:r>
        <w:rPr>
          <w:rFonts w:hint="eastAsia" w:ascii="宋体" w:hAnsi="宋体" w:eastAsia="宋体"/>
          <w:b w:val="0"/>
          <w:sz w:val="21"/>
          <w:szCs w:val="21"/>
          <w:highlight w:val="none"/>
        </w:rPr>
        <w:t xml:space="preserve">  1.</w:t>
      </w:r>
      <w:r>
        <w:rPr>
          <w:rFonts w:hint="eastAsia" w:ascii="宋体" w:hAnsi="宋体" w:eastAsia="宋体"/>
          <w:b w:val="0"/>
          <w:sz w:val="21"/>
          <w:szCs w:val="21"/>
          <w:highlight w:val="none"/>
          <w:lang w:val="en-US" w:eastAsia="zh-CN"/>
        </w:rPr>
        <w:t>综合单价</w:t>
      </w:r>
      <w:r>
        <w:rPr>
          <w:rFonts w:hint="eastAsia" w:ascii="宋体" w:hAnsi="宋体" w:eastAsia="宋体"/>
          <w:b w:val="0"/>
          <w:sz w:val="21"/>
          <w:szCs w:val="21"/>
          <w:highlight w:val="none"/>
        </w:rPr>
        <w:t>为人民币（大写）：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元， ￥</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w:t>
      </w:r>
    </w:p>
    <w:p w14:paraId="0CA299A3">
      <w:pPr>
        <w:spacing w:line="360" w:lineRule="auto"/>
        <w:ind w:firstLine="525" w:firstLineChars="250"/>
        <w:rPr>
          <w:rFonts w:hint="eastAsia" w:ascii="宋体" w:hAnsi="宋体"/>
          <w:szCs w:val="21"/>
          <w:highlight w:val="none"/>
        </w:rPr>
      </w:pPr>
      <w:r>
        <w:rPr>
          <w:rFonts w:hint="eastAsia" w:ascii="宋体" w:hAnsi="宋体"/>
          <w:szCs w:val="21"/>
          <w:highlight w:val="none"/>
        </w:rPr>
        <w:t xml:space="preserve"> </w:t>
      </w:r>
      <w:r>
        <w:rPr>
          <w:rFonts w:hint="eastAsia" w:ascii="宋体" w:hAnsi="宋体"/>
          <w:szCs w:val="21"/>
          <w:highlight w:val="none"/>
          <w:lang w:val="en-US" w:eastAsia="zh-CN"/>
        </w:rPr>
        <w:t>2</w:t>
      </w:r>
      <w:r>
        <w:rPr>
          <w:rFonts w:hint="eastAsia" w:ascii="宋体" w:hAnsi="宋体"/>
          <w:szCs w:val="21"/>
          <w:highlight w:val="none"/>
        </w:rPr>
        <w:t>.本合同执行期间服务</w:t>
      </w:r>
      <w:r>
        <w:rPr>
          <w:rFonts w:hint="eastAsia" w:ascii="宋体" w:hAnsi="宋体"/>
          <w:szCs w:val="21"/>
          <w:highlight w:val="none"/>
          <w:lang w:val="en-US" w:eastAsia="zh-CN"/>
        </w:rPr>
        <w:t>单价</w:t>
      </w:r>
      <w:r>
        <w:rPr>
          <w:rFonts w:hint="eastAsia" w:ascii="宋体" w:hAnsi="宋体"/>
          <w:szCs w:val="21"/>
          <w:highlight w:val="none"/>
        </w:rPr>
        <w:t>不变，甲方无须另向乙方支付本合同规定之外的其他任何费用。</w:t>
      </w:r>
    </w:p>
    <w:p w14:paraId="3B4812FB">
      <w:pPr>
        <w:spacing w:before="120" w:beforeLines="50" w:after="120" w:afterLines="50" w:line="360" w:lineRule="auto"/>
        <w:ind w:firstLine="602" w:firstLineChars="200"/>
        <w:rPr>
          <w:rFonts w:hint="eastAsia" w:ascii="宋体" w:hAnsi="宋体"/>
          <w:b/>
          <w:sz w:val="30"/>
          <w:szCs w:val="30"/>
          <w:highlight w:val="none"/>
        </w:rPr>
      </w:pPr>
      <w:r>
        <w:rPr>
          <w:rFonts w:hint="eastAsia" w:ascii="宋体" w:hAnsi="宋体"/>
          <w:b/>
          <w:sz w:val="30"/>
          <w:szCs w:val="30"/>
          <w:highlight w:val="none"/>
        </w:rPr>
        <w:t xml:space="preserve">第五条 </w:t>
      </w:r>
      <w:r>
        <w:rPr>
          <w:rFonts w:hint="eastAsia" w:ascii="宋体" w:hAnsi="宋体"/>
          <w:b/>
          <w:szCs w:val="21"/>
          <w:highlight w:val="none"/>
        </w:rPr>
        <w:t xml:space="preserve"> </w:t>
      </w:r>
      <w:r>
        <w:rPr>
          <w:rFonts w:hint="eastAsia" w:ascii="宋体" w:hAnsi="宋体"/>
          <w:b/>
          <w:sz w:val="30"/>
          <w:szCs w:val="30"/>
          <w:highlight w:val="none"/>
        </w:rPr>
        <w:t>服务费支付方式</w:t>
      </w:r>
    </w:p>
    <w:p w14:paraId="50A2F4CA">
      <w:pPr>
        <w:spacing w:line="360" w:lineRule="auto"/>
        <w:ind w:firstLine="525" w:firstLineChars="250"/>
        <w:rPr>
          <w:rFonts w:hint="eastAsia" w:ascii="宋体" w:hAnsi="宋体"/>
          <w:szCs w:val="21"/>
          <w:highlight w:val="none"/>
        </w:rPr>
      </w:pPr>
      <w:r>
        <w:rPr>
          <w:rFonts w:hint="eastAsia" w:ascii="宋体" w:hAnsi="宋体"/>
          <w:szCs w:val="21"/>
          <w:highlight w:val="none"/>
        </w:rPr>
        <w:t>按月支付，每月由双方确定污水处理量，根据污水处理量和考核检查结果据实结算，考核检查结果不合格，在支付的服务费中扣除相应金额，年处理费用不超过限价。（考核办法见附件）</w:t>
      </w:r>
    </w:p>
    <w:p w14:paraId="23533A9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第六条   知识产权</w:t>
      </w:r>
    </w:p>
    <w:p w14:paraId="1E75A3F9">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乙方应保证所提供的服务或其任何一部分均不会侵犯任何第三方的专利权、商标权或著作权。</w:t>
      </w:r>
    </w:p>
    <w:p w14:paraId="328A460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第七条  无产权瑕疵条款</w:t>
      </w:r>
    </w:p>
    <w:p w14:paraId="7B287E74">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乙方保证所提供的服务的所有权完全属于乙方且无任何抵押、查封等产权瑕疵。如有产权瑕疵的，视为乙方违约。乙方应负担由此而产生的一切损失。</w:t>
      </w:r>
    </w:p>
    <w:p w14:paraId="12EAE23A">
      <w:pPr>
        <w:widowControl/>
        <w:spacing w:before="120" w:beforeLines="50" w:after="120" w:afterLines="50" w:line="360" w:lineRule="auto"/>
        <w:jc w:val="left"/>
        <w:rPr>
          <w:rFonts w:hint="eastAsia" w:ascii="宋体" w:hAnsi="宋体"/>
          <w:b/>
          <w:sz w:val="30"/>
          <w:szCs w:val="30"/>
          <w:highlight w:val="none"/>
        </w:rPr>
      </w:pPr>
      <w:r>
        <w:rPr>
          <w:rFonts w:hint="eastAsia" w:ascii="宋体" w:hAnsi="宋体"/>
          <w:b/>
          <w:sz w:val="30"/>
          <w:szCs w:val="30"/>
          <w:highlight w:val="none"/>
        </w:rPr>
        <w:t xml:space="preserve">   第八条   履约保证金</w:t>
      </w:r>
    </w:p>
    <w:p w14:paraId="02DB47C6">
      <w:pPr>
        <w:widowControl/>
        <w:spacing w:line="360" w:lineRule="auto"/>
        <w:ind w:firstLine="420" w:firstLineChars="200"/>
        <w:jc w:val="left"/>
        <w:rPr>
          <w:rFonts w:hint="eastAsia" w:ascii="宋体" w:hAnsi="宋体"/>
          <w:b/>
          <w:szCs w:val="21"/>
          <w:highlight w:val="none"/>
        </w:rPr>
      </w:pPr>
      <w:r>
        <w:rPr>
          <w:rFonts w:hint="eastAsia" w:ascii="宋体" w:hAnsi="宋体" w:cs="宋体"/>
          <w:color w:val="000000"/>
          <w:kern w:val="0"/>
          <w:szCs w:val="21"/>
          <w:highlight w:val="none"/>
        </w:rPr>
        <w:t>1.乙方在签订本合同之前，向甲方构提交履约保证金人民币（大写）</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元，￥</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15440C56">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bCs/>
          <w:szCs w:val="21"/>
          <w:highlight w:val="none"/>
        </w:rPr>
        <w:t>2.</w:t>
      </w:r>
      <w:r>
        <w:rPr>
          <w:rFonts w:hint="eastAsia" w:ascii="宋体" w:hAnsi="宋体" w:cs="宋体"/>
          <w:color w:val="000000"/>
          <w:kern w:val="0"/>
          <w:szCs w:val="21"/>
          <w:highlight w:val="none"/>
        </w:rPr>
        <w:t>履约保证金的有效期为乙方承诺的服务期限。</w:t>
      </w:r>
    </w:p>
    <w:p w14:paraId="3818C13B">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3.履约保证金作为违约金的一部分及用于补偿甲方因乙方不能履行合同义务而蒙受的损失。</w:t>
      </w:r>
    </w:p>
    <w:p w14:paraId="3220B863">
      <w:pPr>
        <w:widowControl/>
        <w:spacing w:line="360" w:lineRule="auto"/>
        <w:ind w:firstLine="420" w:firstLineChars="200"/>
        <w:jc w:val="left"/>
        <w:rPr>
          <w:rFonts w:hint="eastAsia" w:ascii="宋体" w:hAnsi="宋体"/>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服务期限结束后，甲方财务部门接到甲方确认本合同服务等约定事项已经履行完毕的正式书面文件后的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199C0578">
      <w:pPr>
        <w:widowControl/>
        <w:spacing w:line="360" w:lineRule="auto"/>
        <w:ind w:firstLine="420" w:firstLineChars="200"/>
        <w:jc w:val="left"/>
        <w:rPr>
          <w:rFonts w:hint="eastAsia" w:ascii="宋体" w:hAnsi="宋体"/>
          <w:bCs/>
          <w:szCs w:val="21"/>
          <w:highlight w:val="none"/>
        </w:rPr>
      </w:pPr>
      <w:r>
        <w:rPr>
          <w:rFonts w:hint="eastAsia" w:ascii="宋体" w:hAnsi="宋体"/>
          <w:szCs w:val="21"/>
          <w:highlight w:val="none"/>
        </w:rPr>
        <w:t>5.乙方可以履约担保函的形式交纳履约保证金。</w:t>
      </w:r>
    </w:p>
    <w:p w14:paraId="79ACC366">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第九条  </w:t>
      </w:r>
      <w:r>
        <w:rPr>
          <w:rFonts w:ascii="宋体" w:hAnsi="宋体"/>
          <w:b/>
          <w:sz w:val="30"/>
          <w:szCs w:val="30"/>
          <w:highlight w:val="none"/>
        </w:rPr>
        <w:t>甲方的权利和义务</w:t>
      </w:r>
    </w:p>
    <w:p w14:paraId="22A6B3F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甲方有权对合同规定范围内</w:t>
      </w:r>
      <w:r>
        <w:rPr>
          <w:rFonts w:hint="eastAsia" w:ascii="宋体" w:hAnsi="宋体"/>
          <w:bCs/>
          <w:szCs w:val="21"/>
          <w:highlight w:val="none"/>
        </w:rPr>
        <w:t>乙方的服务行为</w:t>
      </w:r>
      <w:r>
        <w:rPr>
          <w:rFonts w:ascii="宋体" w:hAnsi="宋体"/>
          <w:bCs/>
          <w:szCs w:val="21"/>
          <w:highlight w:val="none"/>
        </w:rPr>
        <w:t>进行监督和检查，拥有监管权。有权定期核对乙方提供服务所配备的人员数量。对甲方认为不合理的部分有权</w:t>
      </w:r>
      <w:r>
        <w:rPr>
          <w:rFonts w:hint="eastAsia" w:ascii="宋体" w:hAnsi="宋体"/>
          <w:bCs/>
          <w:szCs w:val="21"/>
          <w:highlight w:val="none"/>
        </w:rPr>
        <w:t>下达整改通知书，并</w:t>
      </w:r>
      <w:r>
        <w:rPr>
          <w:rFonts w:ascii="宋体" w:hAnsi="宋体"/>
          <w:bCs/>
          <w:szCs w:val="21"/>
          <w:highlight w:val="none"/>
        </w:rPr>
        <w:t>要求乙方</w:t>
      </w:r>
      <w:r>
        <w:rPr>
          <w:rFonts w:hint="eastAsia" w:ascii="宋体" w:hAnsi="宋体"/>
          <w:bCs/>
          <w:szCs w:val="21"/>
          <w:highlight w:val="none"/>
        </w:rPr>
        <w:t>限期整改</w:t>
      </w:r>
      <w:r>
        <w:rPr>
          <w:rFonts w:ascii="宋体" w:hAnsi="宋体"/>
          <w:bCs/>
          <w:szCs w:val="21"/>
          <w:highlight w:val="none"/>
        </w:rPr>
        <w:t>。</w:t>
      </w:r>
    </w:p>
    <w:p w14:paraId="0A5916C0">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2.甲方有权依据双方签订的考评办法对乙方提供的服务进行定期考评。当考评结果未达到标准时，有权依据考评办法约定的数额扣除履约保证金。</w:t>
      </w:r>
    </w:p>
    <w:p w14:paraId="000BE1B5">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w:t>
      </w:r>
      <w:r>
        <w:rPr>
          <w:rFonts w:ascii="宋体" w:hAnsi="宋体"/>
          <w:bCs/>
          <w:szCs w:val="21"/>
          <w:highlight w:val="none"/>
        </w:rPr>
        <w:t>负责检查监督乙方管理工作的实施及制度的执行情况。</w:t>
      </w:r>
    </w:p>
    <w:p w14:paraId="45C9C05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4.</w:t>
      </w:r>
      <w:r>
        <w:rPr>
          <w:rFonts w:ascii="宋体" w:hAnsi="宋体"/>
          <w:bCs/>
          <w:szCs w:val="21"/>
          <w:highlight w:val="none"/>
        </w:rPr>
        <w:t>根据本合同规定，按时向乙方支付应付</w:t>
      </w:r>
      <w:r>
        <w:rPr>
          <w:rFonts w:hint="eastAsia" w:ascii="宋体" w:hAnsi="宋体"/>
          <w:bCs/>
          <w:szCs w:val="21"/>
          <w:highlight w:val="none"/>
        </w:rPr>
        <w:t>服务费用</w:t>
      </w:r>
      <w:r>
        <w:rPr>
          <w:rFonts w:ascii="宋体" w:hAnsi="宋体"/>
          <w:bCs/>
          <w:szCs w:val="21"/>
          <w:highlight w:val="none"/>
        </w:rPr>
        <w:t>。</w:t>
      </w:r>
    </w:p>
    <w:p w14:paraId="14D7B256">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国家法律、法规所规定由甲方承担的其它责任。</w:t>
      </w:r>
    </w:p>
    <w:p w14:paraId="40ECEAC4">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第十条  </w:t>
      </w:r>
      <w:r>
        <w:rPr>
          <w:rFonts w:ascii="宋体" w:hAnsi="宋体"/>
          <w:b/>
          <w:sz w:val="30"/>
          <w:szCs w:val="30"/>
          <w:highlight w:val="none"/>
        </w:rPr>
        <w:t>乙方的权利和义务</w:t>
      </w:r>
    </w:p>
    <w:p w14:paraId="5929911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对本合同规定的委托</w:t>
      </w:r>
      <w:r>
        <w:rPr>
          <w:rFonts w:hint="eastAsia" w:ascii="宋体" w:hAnsi="宋体"/>
          <w:bCs/>
          <w:szCs w:val="21"/>
          <w:highlight w:val="none"/>
        </w:rPr>
        <w:t>服务</w:t>
      </w:r>
      <w:r>
        <w:rPr>
          <w:rFonts w:ascii="宋体" w:hAnsi="宋体"/>
          <w:bCs/>
          <w:szCs w:val="21"/>
          <w:highlight w:val="none"/>
        </w:rPr>
        <w:t>范围内的</w:t>
      </w:r>
      <w:r>
        <w:rPr>
          <w:rFonts w:hint="eastAsia" w:ascii="宋体" w:hAnsi="宋体"/>
          <w:bCs/>
          <w:szCs w:val="21"/>
          <w:highlight w:val="none"/>
        </w:rPr>
        <w:t>项目</w:t>
      </w:r>
      <w:r>
        <w:rPr>
          <w:rFonts w:ascii="宋体" w:hAnsi="宋体"/>
          <w:bCs/>
          <w:szCs w:val="21"/>
          <w:highlight w:val="none"/>
        </w:rPr>
        <w:t>享有管理权及服务义务。</w:t>
      </w:r>
    </w:p>
    <w:p w14:paraId="4665B94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根据本合同的规定向甲方收取相关</w:t>
      </w:r>
      <w:r>
        <w:rPr>
          <w:rFonts w:hint="eastAsia" w:ascii="宋体" w:hAnsi="宋体"/>
          <w:bCs/>
          <w:szCs w:val="21"/>
          <w:highlight w:val="none"/>
        </w:rPr>
        <w:t>服务</w:t>
      </w:r>
      <w:r>
        <w:rPr>
          <w:rFonts w:ascii="宋体" w:hAnsi="宋体"/>
          <w:bCs/>
          <w:szCs w:val="21"/>
          <w:highlight w:val="none"/>
        </w:rPr>
        <w:t>费用，并有权</w:t>
      </w:r>
      <w:r>
        <w:rPr>
          <w:rFonts w:hint="eastAsia" w:ascii="宋体" w:hAnsi="宋体"/>
          <w:bCs/>
          <w:szCs w:val="21"/>
          <w:highlight w:val="none"/>
        </w:rPr>
        <w:t>在本项目管理范围内</w:t>
      </w:r>
      <w:r>
        <w:rPr>
          <w:rFonts w:ascii="宋体" w:hAnsi="宋体"/>
          <w:bCs/>
          <w:szCs w:val="21"/>
          <w:highlight w:val="none"/>
        </w:rPr>
        <w:t>管理及合理使用。</w:t>
      </w:r>
    </w:p>
    <w:p w14:paraId="53E2D665">
      <w:pPr>
        <w:adjustRightInd w:val="0"/>
        <w:spacing w:line="360" w:lineRule="auto"/>
        <w:ind w:firstLine="420" w:firstLineChars="200"/>
        <w:jc w:val="left"/>
        <w:textAlignment w:val="baseline"/>
        <w:rPr>
          <w:rFonts w:hint="eastAsia" w:ascii="宋体" w:hAnsi="宋体"/>
          <w:szCs w:val="21"/>
          <w:highlight w:val="none"/>
        </w:rPr>
      </w:pPr>
      <w:r>
        <w:rPr>
          <w:rFonts w:hint="eastAsia" w:ascii="宋体" w:hAnsi="宋体"/>
          <w:szCs w:val="21"/>
          <w:highlight w:val="none"/>
        </w:rPr>
        <w:t>3.及时向甲方通告本项目服务范围内有关服务的重大事项，及时配合处理投诉。</w:t>
      </w:r>
    </w:p>
    <w:p w14:paraId="00302626">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szCs w:val="21"/>
          <w:highlight w:val="none"/>
        </w:rPr>
        <w:t>4.</w:t>
      </w:r>
      <w:r>
        <w:rPr>
          <w:rFonts w:ascii="宋体" w:hAnsi="宋体"/>
          <w:bCs/>
          <w:szCs w:val="21"/>
          <w:highlight w:val="none"/>
        </w:rPr>
        <w:t>接受</w:t>
      </w:r>
      <w:r>
        <w:rPr>
          <w:rFonts w:hint="eastAsia" w:ascii="宋体" w:hAnsi="宋体"/>
          <w:bCs/>
          <w:szCs w:val="21"/>
          <w:highlight w:val="none"/>
        </w:rPr>
        <w:t>项目行</w:t>
      </w:r>
      <w:r>
        <w:rPr>
          <w:rFonts w:ascii="宋体" w:hAnsi="宋体"/>
          <w:bCs/>
          <w:szCs w:val="21"/>
          <w:highlight w:val="none"/>
        </w:rPr>
        <w:t>业管理部门及政府有关部门的指导，接受甲方的监督。</w:t>
      </w:r>
    </w:p>
    <w:p w14:paraId="6B090AFF">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国家法律、法规所规定由乙方承担的其它责任。</w:t>
      </w:r>
    </w:p>
    <w:p w14:paraId="52194372">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第十一条  </w:t>
      </w:r>
      <w:r>
        <w:rPr>
          <w:rFonts w:ascii="宋体" w:hAnsi="宋体"/>
          <w:b/>
          <w:sz w:val="30"/>
          <w:szCs w:val="30"/>
          <w:highlight w:val="none"/>
        </w:rPr>
        <w:t>违约责任</w:t>
      </w:r>
    </w:p>
    <w:p w14:paraId="64EFC114">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甲乙双方必须遵守本合同并执行合同中的各项规定，保证</w:t>
      </w:r>
      <w:r>
        <w:rPr>
          <w:rFonts w:hint="eastAsia" w:ascii="宋体" w:hAnsi="宋体"/>
          <w:bCs/>
          <w:szCs w:val="21"/>
          <w:highlight w:val="none"/>
        </w:rPr>
        <w:t>本</w:t>
      </w:r>
      <w:r>
        <w:rPr>
          <w:rFonts w:ascii="宋体" w:hAnsi="宋体"/>
          <w:bCs/>
          <w:szCs w:val="21"/>
          <w:highlight w:val="none"/>
        </w:rPr>
        <w:t>合同的正常</w:t>
      </w:r>
      <w:r>
        <w:rPr>
          <w:rFonts w:hint="eastAsia" w:ascii="宋体" w:hAnsi="宋体"/>
          <w:bCs/>
          <w:szCs w:val="21"/>
          <w:highlight w:val="none"/>
        </w:rPr>
        <w:t>履行</w:t>
      </w:r>
      <w:r>
        <w:rPr>
          <w:rFonts w:ascii="宋体" w:hAnsi="宋体"/>
          <w:bCs/>
          <w:szCs w:val="21"/>
          <w:highlight w:val="none"/>
        </w:rPr>
        <w:t>。</w:t>
      </w:r>
    </w:p>
    <w:p w14:paraId="3A482C1C">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如因乙方</w:t>
      </w:r>
      <w:r>
        <w:rPr>
          <w:rFonts w:hint="eastAsia" w:ascii="宋体" w:hAnsi="宋体"/>
          <w:bCs/>
          <w:szCs w:val="21"/>
          <w:highlight w:val="none"/>
        </w:rPr>
        <w:t>工作人员在履行职务过程中的</w:t>
      </w:r>
      <w:r>
        <w:rPr>
          <w:rFonts w:ascii="宋体" w:hAnsi="宋体"/>
          <w:bCs/>
          <w:szCs w:val="21"/>
          <w:highlight w:val="none"/>
        </w:rPr>
        <w:t>的疏忽、失职、过错等</w:t>
      </w:r>
      <w:r>
        <w:rPr>
          <w:rFonts w:hint="eastAsia" w:ascii="宋体" w:hAnsi="宋体"/>
          <w:bCs/>
          <w:szCs w:val="21"/>
          <w:highlight w:val="none"/>
        </w:rPr>
        <w:t>故意或者过失</w:t>
      </w:r>
      <w:r>
        <w:rPr>
          <w:rFonts w:ascii="宋体" w:hAnsi="宋体"/>
          <w:bCs/>
          <w:szCs w:val="21"/>
          <w:highlight w:val="none"/>
        </w:rPr>
        <w:t>原因给甲方造成损失或侵害，</w:t>
      </w:r>
      <w:r>
        <w:rPr>
          <w:rFonts w:hint="eastAsia" w:ascii="宋体" w:hAnsi="宋体"/>
          <w:bCs/>
          <w:szCs w:val="21"/>
          <w:highlight w:val="none"/>
        </w:rPr>
        <w:t>包括但不限于甲方本身的财产损失、由此而导致的甲方对任何第三方的法律责任等，乙方对此均应承担全部的赔偿责任</w:t>
      </w:r>
      <w:r>
        <w:rPr>
          <w:rFonts w:ascii="宋体" w:hAnsi="宋体"/>
          <w:bCs/>
          <w:szCs w:val="21"/>
          <w:highlight w:val="none"/>
        </w:rPr>
        <w:t>。</w:t>
      </w:r>
    </w:p>
    <w:p w14:paraId="41FFF04B">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第十二条  不可抗力事件处理</w:t>
      </w:r>
    </w:p>
    <w:p w14:paraId="718DF3EB">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1.在合同有效期内，任何一方因不可抗力事件导致不能履行合同，则合同履行期可延长，其延长期与不可抗力影响期相同。</w:t>
      </w:r>
    </w:p>
    <w:p w14:paraId="411D10BE">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2.不可抗力事件发生后，应立即通知对方，并寄送有关权威机构出具的证明。</w:t>
      </w:r>
    </w:p>
    <w:p w14:paraId="09EC82E1">
      <w:pPr>
        <w:tabs>
          <w:tab w:val="left" w:pos="0"/>
        </w:tabs>
        <w:spacing w:line="360" w:lineRule="auto"/>
        <w:ind w:firstLine="420" w:firstLineChars="200"/>
        <w:rPr>
          <w:rFonts w:ascii="宋体" w:hAnsi="宋体"/>
          <w:szCs w:val="21"/>
          <w:highlight w:val="none"/>
        </w:rPr>
      </w:pPr>
      <w:r>
        <w:rPr>
          <w:rFonts w:hint="eastAsia" w:ascii="宋体" w:hAnsi="宋体"/>
          <w:szCs w:val="21"/>
          <w:highlight w:val="none"/>
        </w:rPr>
        <w:t>3.不可抗力事件延续</w:t>
      </w:r>
      <w:r>
        <w:rPr>
          <w:rFonts w:hint="eastAsia" w:ascii="宋体" w:hAnsi="宋体"/>
          <w:color w:val="000000"/>
          <w:szCs w:val="21"/>
          <w:highlight w:val="none"/>
        </w:rPr>
        <w:t>XX</w:t>
      </w:r>
      <w:r>
        <w:rPr>
          <w:rFonts w:hint="eastAsia" w:ascii="宋体" w:hAnsi="宋体"/>
          <w:szCs w:val="21"/>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0C87627">
      <w:pPr>
        <w:widowControl/>
        <w:spacing w:before="120" w:beforeLines="50" w:after="120" w:afterLines="50" w:line="360" w:lineRule="auto"/>
        <w:jc w:val="left"/>
        <w:rPr>
          <w:rFonts w:hint="eastAsia" w:ascii="宋体" w:hAnsi="宋体" w:cs="宋体"/>
          <w:color w:val="000000"/>
          <w:kern w:val="0"/>
          <w:sz w:val="30"/>
          <w:szCs w:val="30"/>
          <w:highlight w:val="none"/>
        </w:rPr>
      </w:pPr>
      <w:bookmarkStart w:id="18" w:name="_Toc225244857"/>
      <w:bookmarkStart w:id="19" w:name="_Toc239233919"/>
      <w:bookmarkStart w:id="20" w:name="_Toc247334846"/>
      <w:bookmarkStart w:id="21" w:name="_Toc239568423"/>
      <w:bookmarkStart w:id="22" w:name="_Toc241833908"/>
      <w:bookmarkStart w:id="23" w:name="_Toc225654649"/>
      <w:bookmarkStart w:id="24" w:name="_Toc286993792"/>
      <w:bookmarkStart w:id="25" w:name="_Toc225670756"/>
      <w:bookmarkStart w:id="26" w:name="_Toc232492933"/>
      <w:bookmarkStart w:id="27" w:name="_Toc211854454"/>
      <w:bookmarkStart w:id="28" w:name="_Toc238984980"/>
      <w:bookmarkStart w:id="29" w:name="_Toc237145411"/>
      <w:bookmarkStart w:id="30" w:name="_Toc212019599"/>
      <w:bookmarkStart w:id="31" w:name="_Toc211911353"/>
      <w:bookmarkStart w:id="32" w:name="_Toc185395254"/>
      <w:bookmarkStart w:id="33" w:name="_Toc251768867"/>
      <w:r>
        <w:rPr>
          <w:rFonts w:hint="eastAsia" w:ascii="宋体" w:hAnsi="宋体"/>
          <w:b/>
          <w:sz w:val="30"/>
          <w:szCs w:val="30"/>
          <w:highlight w:val="none"/>
        </w:rPr>
        <w:t xml:space="preserve">   第十三条  </w:t>
      </w:r>
      <w:r>
        <w:rPr>
          <w:rFonts w:hint="eastAsia" w:ascii="宋体" w:hAnsi="宋体" w:cs="宋体"/>
          <w:b/>
          <w:color w:val="000000"/>
          <w:kern w:val="0"/>
          <w:sz w:val="30"/>
          <w:szCs w:val="30"/>
          <w:highlight w:val="none"/>
        </w:rPr>
        <w:t>合同的变更和终止</w:t>
      </w:r>
    </w:p>
    <w:p w14:paraId="4D7C6C9E">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55413AA1">
      <w:pPr>
        <w:spacing w:before="120" w:beforeLines="50" w:after="120" w:afterLines="50" w:line="360" w:lineRule="auto"/>
        <w:ind w:left="425"/>
        <w:rPr>
          <w:rFonts w:ascii="宋体" w:hAnsi="宋体"/>
          <w:b/>
          <w:szCs w:val="21"/>
          <w:highlight w:val="none"/>
        </w:rPr>
      </w:pPr>
      <w:r>
        <w:rPr>
          <w:rFonts w:hint="eastAsia" w:ascii="宋体" w:hAnsi="宋体"/>
          <w:b/>
          <w:sz w:val="30"/>
          <w:szCs w:val="30"/>
          <w:highlight w:val="none"/>
        </w:rPr>
        <w:t>第十四条  解</w:t>
      </w:r>
      <w:r>
        <w:rPr>
          <w:rFonts w:ascii="宋体" w:hAnsi="宋体"/>
          <w:b/>
          <w:sz w:val="30"/>
          <w:szCs w:val="30"/>
          <w:highlight w:val="none"/>
        </w:rPr>
        <w:t>决合同纠纷的方</w:t>
      </w:r>
      <w:r>
        <w:rPr>
          <w:rFonts w:ascii="宋体" w:hAnsi="宋体"/>
          <w:b/>
          <w:szCs w:val="21"/>
          <w:highlight w:val="none"/>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158A0E6">
      <w:pPr>
        <w:pStyle w:val="8"/>
        <w:spacing w:line="360" w:lineRule="auto"/>
        <w:ind w:firstLine="420"/>
        <w:rPr>
          <w:rFonts w:hint="eastAsia" w:ascii="宋体" w:hAnsi="宋体"/>
          <w:kern w:val="0"/>
          <w:sz w:val="21"/>
          <w:szCs w:val="21"/>
          <w:highlight w:val="none"/>
        </w:rPr>
      </w:pPr>
      <w:r>
        <w:rPr>
          <w:rFonts w:hint="eastAsia" w:ascii="宋体" w:hAnsi="宋体"/>
          <w:sz w:val="21"/>
          <w:szCs w:val="21"/>
          <w:highlight w:val="none"/>
        </w:rPr>
        <w:t>1.</w:t>
      </w:r>
      <w:r>
        <w:rPr>
          <w:rFonts w:ascii="宋体" w:hAnsi="宋体"/>
          <w:sz w:val="21"/>
          <w:szCs w:val="21"/>
          <w:highlight w:val="none"/>
        </w:rPr>
        <w:t>在执行本合同中发生的或与本合同有关的争端，双方应通过友好协商解决，经协商在</w:t>
      </w:r>
      <w:r>
        <w:rPr>
          <w:rFonts w:hint="eastAsia" w:ascii="宋体" w:hAnsi="宋体"/>
          <w:color w:val="000000"/>
          <w:sz w:val="21"/>
          <w:szCs w:val="21"/>
          <w:highlight w:val="none"/>
        </w:rPr>
        <w:t>XX</w:t>
      </w:r>
      <w:r>
        <w:rPr>
          <w:rFonts w:ascii="宋体" w:hAnsi="宋体"/>
          <w:sz w:val="21"/>
          <w:szCs w:val="21"/>
          <w:highlight w:val="none"/>
        </w:rPr>
        <w:t>天内不能达成协议时，</w:t>
      </w:r>
      <w:r>
        <w:rPr>
          <w:rFonts w:hint="eastAsia" w:ascii="宋体" w:hAnsi="宋体"/>
          <w:kern w:val="0"/>
          <w:sz w:val="21"/>
          <w:szCs w:val="21"/>
          <w:highlight w:val="none"/>
        </w:rPr>
        <w:t>则采取以下第</w:t>
      </w:r>
      <w:r>
        <w:rPr>
          <w:rFonts w:hint="eastAsia" w:ascii="宋体" w:hAnsi="宋体"/>
          <w:kern w:val="0"/>
          <w:sz w:val="21"/>
          <w:szCs w:val="21"/>
          <w:highlight w:val="none"/>
          <w:u w:val="single"/>
          <w:lang w:val="en-US" w:eastAsia="zh-CN"/>
        </w:rPr>
        <w:t xml:space="preserve">  1  </w:t>
      </w:r>
      <w:r>
        <w:rPr>
          <w:rFonts w:hint="eastAsia" w:ascii="宋体" w:hAnsi="宋体"/>
          <w:kern w:val="0"/>
          <w:sz w:val="21"/>
          <w:szCs w:val="21"/>
          <w:highlight w:val="none"/>
        </w:rPr>
        <w:t>种方式解决争议：</w:t>
      </w:r>
    </w:p>
    <w:p w14:paraId="1688B518">
      <w:pPr>
        <w:pStyle w:val="8"/>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0ADE5CEE">
      <w:pPr>
        <w:pStyle w:val="8"/>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w:t>
      </w:r>
      <w:r>
        <w:rPr>
          <w:rFonts w:hint="eastAsia" w:ascii="宋体" w:hAnsi="宋体"/>
          <w:kern w:val="0"/>
          <w:sz w:val="21"/>
          <w:szCs w:val="21"/>
          <w:highlight w:val="none"/>
        </w:rPr>
        <w:t>仲裁委员会按其仲裁规则申请仲裁。</w:t>
      </w:r>
    </w:p>
    <w:p w14:paraId="7ACED61F">
      <w:pPr>
        <w:tabs>
          <w:tab w:val="left" w:pos="0"/>
        </w:tabs>
        <w:spacing w:line="360" w:lineRule="auto"/>
        <w:ind w:firstLine="420" w:firstLineChars="200"/>
        <w:rPr>
          <w:rFonts w:ascii="宋体" w:hAnsi="宋体"/>
          <w:szCs w:val="21"/>
          <w:highlight w:val="none"/>
        </w:rPr>
      </w:pPr>
      <w:r>
        <w:rPr>
          <w:rFonts w:hint="eastAsia" w:ascii="宋体" w:hAnsi="宋体"/>
          <w:kern w:val="0"/>
          <w:szCs w:val="21"/>
          <w:highlight w:val="none"/>
        </w:rPr>
        <w:t>2.在仲裁期间，本合同应继续履行。</w:t>
      </w:r>
    </w:p>
    <w:p w14:paraId="56081A37">
      <w:pPr>
        <w:spacing w:before="120" w:beforeLines="50" w:after="120" w:afterLines="50" w:line="360" w:lineRule="auto"/>
        <w:ind w:left="425"/>
        <w:rPr>
          <w:rFonts w:ascii="宋体" w:hAnsi="宋体"/>
          <w:b/>
          <w:sz w:val="30"/>
          <w:szCs w:val="30"/>
          <w:highlight w:val="none"/>
        </w:rPr>
      </w:pPr>
      <w:bookmarkStart w:id="34" w:name="_Toc239568424"/>
      <w:bookmarkStart w:id="35" w:name="_Toc211911354"/>
      <w:bookmarkStart w:id="36" w:name="_Toc282696231"/>
      <w:bookmarkStart w:id="37" w:name="_Toc211854455"/>
      <w:bookmarkStart w:id="38" w:name="_Toc247334847"/>
      <w:bookmarkStart w:id="39" w:name="_Toc212019600"/>
      <w:bookmarkStart w:id="40" w:name="_Toc239233920"/>
      <w:bookmarkStart w:id="41" w:name="_Toc225244858"/>
      <w:bookmarkStart w:id="42" w:name="_Toc232492934"/>
      <w:bookmarkStart w:id="43" w:name="_Toc251768868"/>
      <w:bookmarkStart w:id="44" w:name="_Toc225670757"/>
      <w:bookmarkStart w:id="45" w:name="_Toc286993793"/>
      <w:bookmarkStart w:id="46" w:name="_Toc225654650"/>
      <w:bookmarkStart w:id="47" w:name="_Toc283019219"/>
      <w:bookmarkStart w:id="48" w:name="_Toc237145412"/>
      <w:bookmarkStart w:id="49" w:name="_Toc185395255"/>
      <w:bookmarkStart w:id="50" w:name="_Toc238984981"/>
      <w:bookmarkStart w:id="51" w:name="_Toc241833909"/>
      <w:r>
        <w:rPr>
          <w:rFonts w:hint="eastAsia" w:ascii="宋体" w:hAnsi="宋体"/>
          <w:b/>
          <w:sz w:val="30"/>
          <w:szCs w:val="30"/>
          <w:highlight w:val="none"/>
        </w:rPr>
        <w:t xml:space="preserve">第十四条  </w:t>
      </w:r>
      <w:r>
        <w:rPr>
          <w:rFonts w:ascii="宋体" w:hAnsi="宋体"/>
          <w:b/>
          <w:sz w:val="30"/>
          <w:szCs w:val="30"/>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highlight w:val="none"/>
        </w:rPr>
        <w:t>生效及其他</w:t>
      </w:r>
    </w:p>
    <w:p w14:paraId="52500B47">
      <w:pPr>
        <w:pStyle w:val="9"/>
        <w:spacing w:line="360" w:lineRule="auto"/>
        <w:rPr>
          <w:rFonts w:hint="eastAsia" w:ascii="宋体" w:hAnsi="宋体"/>
          <w:sz w:val="21"/>
          <w:szCs w:val="21"/>
          <w:highlight w:val="none"/>
        </w:rPr>
      </w:pPr>
      <w:r>
        <w:rPr>
          <w:rFonts w:hint="eastAsia" w:ascii="宋体" w:hAnsi="宋体"/>
          <w:sz w:val="21"/>
          <w:szCs w:val="21"/>
          <w:highlight w:val="none"/>
        </w:rPr>
        <w:t>1.合同经双方法定代表人或授权委托代理人签字并加盖单位公章后生效。</w:t>
      </w:r>
    </w:p>
    <w:p w14:paraId="259C57DB">
      <w:pPr>
        <w:pStyle w:val="9"/>
        <w:spacing w:line="360" w:lineRule="auto"/>
        <w:rPr>
          <w:rFonts w:hint="eastAsia" w:ascii="宋体" w:hAnsi="宋体"/>
          <w:sz w:val="21"/>
          <w:szCs w:val="21"/>
          <w:highlight w:val="none"/>
        </w:rPr>
      </w:pPr>
      <w:r>
        <w:rPr>
          <w:rFonts w:hint="eastAsia" w:ascii="宋体" w:hAnsi="宋体"/>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4AA6C726">
      <w:pPr>
        <w:pStyle w:val="9"/>
        <w:spacing w:line="360" w:lineRule="auto"/>
        <w:rPr>
          <w:rFonts w:hint="eastAsia" w:ascii="宋体" w:hAnsi="宋体"/>
          <w:sz w:val="21"/>
          <w:szCs w:val="21"/>
          <w:highlight w:val="none"/>
        </w:rPr>
      </w:pPr>
      <w:r>
        <w:rPr>
          <w:rFonts w:hint="eastAsia" w:ascii="宋体" w:hAnsi="宋体"/>
          <w:sz w:val="21"/>
          <w:szCs w:val="21"/>
          <w:highlight w:val="none"/>
        </w:rPr>
        <w:t>3.本合同一式</w:t>
      </w:r>
      <w:r>
        <w:rPr>
          <w:rFonts w:hint="eastAsia" w:ascii="宋体" w:hAnsi="宋体"/>
          <w:color w:val="000000"/>
          <w:sz w:val="21"/>
          <w:szCs w:val="21"/>
          <w:highlight w:val="none"/>
        </w:rPr>
        <w:t>XX</w:t>
      </w:r>
      <w:r>
        <w:rPr>
          <w:rFonts w:hint="eastAsia" w:ascii="宋体" w:hAnsi="宋体"/>
          <w:sz w:val="21"/>
          <w:szCs w:val="21"/>
          <w:highlight w:val="none"/>
        </w:rPr>
        <w:t>份，自双方签章之日起起效。甲方</w:t>
      </w:r>
      <w:r>
        <w:rPr>
          <w:rFonts w:hint="eastAsia" w:ascii="宋体" w:hAnsi="宋体"/>
          <w:color w:val="000000"/>
          <w:sz w:val="21"/>
          <w:szCs w:val="21"/>
          <w:highlight w:val="none"/>
        </w:rPr>
        <w:t>XX</w:t>
      </w:r>
      <w:r>
        <w:rPr>
          <w:rFonts w:hint="eastAsia" w:ascii="宋体" w:hAnsi="宋体"/>
          <w:sz w:val="21"/>
          <w:szCs w:val="21"/>
          <w:highlight w:val="none"/>
        </w:rPr>
        <w:t>份，乙方</w:t>
      </w:r>
      <w:r>
        <w:rPr>
          <w:rFonts w:hint="eastAsia" w:ascii="宋体" w:hAnsi="宋体"/>
          <w:color w:val="000000"/>
          <w:sz w:val="21"/>
          <w:szCs w:val="21"/>
          <w:highlight w:val="none"/>
        </w:rPr>
        <w:t>XX</w:t>
      </w:r>
      <w:r>
        <w:rPr>
          <w:rFonts w:hint="eastAsia" w:ascii="宋体" w:hAnsi="宋体"/>
          <w:sz w:val="21"/>
          <w:szCs w:val="21"/>
          <w:highlight w:val="none"/>
        </w:rPr>
        <w:t>份，政府采购代理机构</w:t>
      </w:r>
      <w:r>
        <w:rPr>
          <w:rFonts w:hint="eastAsia" w:ascii="宋体" w:hAnsi="宋体"/>
          <w:color w:val="000000"/>
          <w:sz w:val="21"/>
          <w:szCs w:val="21"/>
          <w:highlight w:val="none"/>
        </w:rPr>
        <w:t>XX</w:t>
      </w:r>
      <w:r>
        <w:rPr>
          <w:rFonts w:hint="eastAsia" w:ascii="宋体" w:hAnsi="宋体"/>
          <w:sz w:val="21"/>
          <w:szCs w:val="21"/>
          <w:highlight w:val="none"/>
        </w:rPr>
        <w:t>份，同级财政部门备案</w:t>
      </w:r>
      <w:r>
        <w:rPr>
          <w:rFonts w:hint="eastAsia" w:ascii="宋体" w:hAnsi="宋体"/>
          <w:color w:val="000000"/>
          <w:sz w:val="21"/>
          <w:szCs w:val="21"/>
          <w:highlight w:val="none"/>
        </w:rPr>
        <w:t>XX</w:t>
      </w:r>
      <w:r>
        <w:rPr>
          <w:rFonts w:hint="eastAsia" w:ascii="宋体" w:hAnsi="宋体"/>
          <w:sz w:val="21"/>
          <w:szCs w:val="21"/>
          <w:highlight w:val="none"/>
        </w:rPr>
        <w:t>份，具有同等法律效力。</w:t>
      </w:r>
    </w:p>
    <w:p w14:paraId="4D2BD57B">
      <w:pPr>
        <w:spacing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第十五条  附件</w:t>
      </w:r>
    </w:p>
    <w:p w14:paraId="619DD260">
      <w:pPr>
        <w:pStyle w:val="9"/>
        <w:spacing w:line="360" w:lineRule="auto"/>
        <w:rPr>
          <w:rFonts w:hint="eastAsia" w:ascii="宋体" w:hAnsi="宋体"/>
          <w:sz w:val="21"/>
          <w:szCs w:val="21"/>
          <w:highlight w:val="none"/>
        </w:rPr>
      </w:pPr>
      <w:r>
        <w:rPr>
          <w:rFonts w:hint="eastAsia" w:ascii="宋体" w:hAnsi="宋体"/>
          <w:sz w:val="21"/>
          <w:szCs w:val="21"/>
          <w:highlight w:val="none"/>
        </w:rPr>
        <w:t>1.项目招标文件</w:t>
      </w:r>
    </w:p>
    <w:p w14:paraId="365A3C41">
      <w:pPr>
        <w:pStyle w:val="9"/>
        <w:spacing w:line="360" w:lineRule="auto"/>
        <w:rPr>
          <w:rFonts w:hint="eastAsia" w:ascii="宋体" w:hAnsi="宋体"/>
          <w:sz w:val="21"/>
          <w:szCs w:val="21"/>
          <w:highlight w:val="none"/>
        </w:rPr>
      </w:pPr>
      <w:r>
        <w:rPr>
          <w:rFonts w:hint="eastAsia" w:ascii="宋体" w:hAnsi="宋体"/>
          <w:sz w:val="21"/>
          <w:szCs w:val="21"/>
          <w:highlight w:val="none"/>
        </w:rPr>
        <w:t>2.项目修改澄清文件</w:t>
      </w:r>
    </w:p>
    <w:p w14:paraId="70D10EED">
      <w:pPr>
        <w:pStyle w:val="9"/>
        <w:spacing w:line="360" w:lineRule="auto"/>
        <w:rPr>
          <w:rFonts w:hint="eastAsia" w:ascii="宋体" w:hAnsi="宋体"/>
          <w:sz w:val="21"/>
          <w:szCs w:val="21"/>
          <w:highlight w:val="none"/>
        </w:rPr>
      </w:pPr>
      <w:r>
        <w:rPr>
          <w:rFonts w:hint="eastAsia" w:ascii="宋体" w:hAnsi="宋体"/>
          <w:sz w:val="21"/>
          <w:szCs w:val="21"/>
          <w:highlight w:val="none"/>
        </w:rPr>
        <w:t>3.项目投标文件</w:t>
      </w:r>
    </w:p>
    <w:p w14:paraId="2E455F29">
      <w:pPr>
        <w:pStyle w:val="9"/>
        <w:spacing w:line="360" w:lineRule="auto"/>
        <w:rPr>
          <w:rFonts w:hint="eastAsia" w:ascii="宋体" w:hAnsi="宋体"/>
          <w:sz w:val="21"/>
          <w:szCs w:val="21"/>
          <w:highlight w:val="none"/>
        </w:rPr>
      </w:pPr>
      <w:r>
        <w:rPr>
          <w:rFonts w:hint="eastAsia" w:ascii="宋体" w:hAnsi="宋体"/>
          <w:sz w:val="21"/>
          <w:szCs w:val="21"/>
          <w:highlight w:val="none"/>
        </w:rPr>
        <w:t>4.中标通知书</w:t>
      </w:r>
    </w:p>
    <w:p w14:paraId="052DF41D">
      <w:pPr>
        <w:pStyle w:val="9"/>
        <w:spacing w:line="360" w:lineRule="auto"/>
        <w:rPr>
          <w:rFonts w:hint="eastAsia" w:ascii="宋体" w:hAnsi="宋体"/>
          <w:sz w:val="21"/>
          <w:szCs w:val="21"/>
          <w:highlight w:val="none"/>
        </w:rPr>
      </w:pPr>
      <w:r>
        <w:rPr>
          <w:rFonts w:hint="eastAsia" w:ascii="宋体" w:hAnsi="宋体"/>
          <w:sz w:val="21"/>
          <w:szCs w:val="21"/>
          <w:highlight w:val="none"/>
        </w:rPr>
        <w:t>5.其他</w:t>
      </w:r>
      <w:bookmarkStart w:id="52" w:name="_GoBack"/>
      <w:bookmarkEnd w:id="52"/>
    </w:p>
    <w:p w14:paraId="7ACD6538">
      <w:pPr>
        <w:spacing w:line="360" w:lineRule="auto"/>
        <w:rPr>
          <w:rFonts w:hint="eastAsia" w:ascii="宋体" w:hAnsi="宋体"/>
          <w:szCs w:val="21"/>
          <w:highlight w:val="none"/>
        </w:rPr>
      </w:pPr>
    </w:p>
    <w:p w14:paraId="71FFD934">
      <w:pPr>
        <w:spacing w:line="360" w:lineRule="auto"/>
        <w:ind w:firstLine="420" w:firstLineChars="200"/>
        <w:rPr>
          <w:rFonts w:ascii="宋体" w:hAnsi="宋体"/>
          <w:szCs w:val="21"/>
          <w:highlight w:val="none"/>
        </w:rPr>
      </w:pPr>
      <w:r>
        <w:rPr>
          <w:rFonts w:hint="eastAsia" w:ascii="宋体" w:hAnsi="宋体"/>
          <w:szCs w:val="21"/>
          <w:highlight w:val="none"/>
        </w:rPr>
        <w:t>甲方：   （盖章）</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ascii="宋体" w:hAnsi="宋体"/>
          <w:szCs w:val="21"/>
          <w:highlight w:val="none"/>
        </w:rPr>
        <w:t xml:space="preserve">    </w:t>
      </w:r>
      <w:r>
        <w:rPr>
          <w:rFonts w:hint="eastAsia" w:ascii="宋体" w:hAnsi="宋体"/>
          <w:szCs w:val="21"/>
          <w:highlight w:val="none"/>
        </w:rPr>
        <w:t xml:space="preserve">   乙方：</w:t>
      </w:r>
      <w:r>
        <w:rPr>
          <w:rFonts w:ascii="宋体" w:hAnsi="宋体"/>
          <w:szCs w:val="21"/>
          <w:highlight w:val="none"/>
        </w:rPr>
        <w:t xml:space="preserve">   </w:t>
      </w:r>
      <w:r>
        <w:rPr>
          <w:rFonts w:hint="eastAsia" w:ascii="宋体" w:hAnsi="宋体"/>
          <w:szCs w:val="21"/>
          <w:highlight w:val="none"/>
        </w:rPr>
        <w:t>（盖章）</w:t>
      </w:r>
    </w:p>
    <w:p w14:paraId="47D604C6">
      <w:pPr>
        <w:spacing w:line="360" w:lineRule="auto"/>
        <w:ind w:firstLine="420" w:firstLineChars="200"/>
        <w:rPr>
          <w:rFonts w:ascii="宋体" w:hAnsi="宋体"/>
          <w:szCs w:val="21"/>
          <w:highlight w:val="none"/>
        </w:rPr>
      </w:pPr>
      <w:r>
        <w:rPr>
          <w:rFonts w:hint="eastAsia" w:ascii="宋体" w:hAnsi="宋体"/>
          <w:szCs w:val="21"/>
          <w:highlight w:val="none"/>
        </w:rPr>
        <w:t>法定代表人（委托代理人）：</w:t>
      </w:r>
      <w:r>
        <w:rPr>
          <w:rFonts w:ascii="宋体" w:hAnsi="宋体"/>
          <w:szCs w:val="21"/>
          <w:highlight w:val="none"/>
        </w:rPr>
        <w:t xml:space="preserve">           </w:t>
      </w:r>
      <w:r>
        <w:rPr>
          <w:rFonts w:hint="eastAsia" w:ascii="宋体" w:hAnsi="宋体"/>
          <w:szCs w:val="21"/>
          <w:highlight w:val="none"/>
        </w:rPr>
        <w:t xml:space="preserve">   法定代表人（委托代理人）：</w:t>
      </w:r>
    </w:p>
    <w:p w14:paraId="23CE0B1E">
      <w:pPr>
        <w:spacing w:line="360" w:lineRule="auto"/>
        <w:ind w:firstLine="420" w:firstLineChars="200"/>
        <w:rPr>
          <w:rFonts w:ascii="宋体" w:hAnsi="宋体"/>
          <w:szCs w:val="21"/>
          <w:highlight w:val="none"/>
        </w:rPr>
      </w:pP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p>
    <w:p w14:paraId="27A9D781">
      <w:pPr>
        <w:spacing w:line="360" w:lineRule="auto"/>
        <w:ind w:firstLine="420" w:firstLineChars="200"/>
        <w:rPr>
          <w:rFonts w:ascii="宋体" w:hAnsi="宋体"/>
          <w:szCs w:val="21"/>
          <w:highlight w:val="none"/>
        </w:rPr>
      </w:pPr>
      <w:r>
        <w:rPr>
          <w:rFonts w:hint="eastAsia" w:ascii="宋体" w:hAnsi="宋体"/>
          <w:szCs w:val="21"/>
          <w:highlight w:val="none"/>
        </w:rPr>
        <w:t>开户银行：</w:t>
      </w:r>
      <w:r>
        <w:rPr>
          <w:rFonts w:ascii="宋体" w:hAnsi="宋体"/>
          <w:szCs w:val="21"/>
          <w:highlight w:val="none"/>
        </w:rPr>
        <w:t xml:space="preserve">                         </w:t>
      </w:r>
      <w:r>
        <w:rPr>
          <w:rFonts w:hint="eastAsia" w:ascii="宋体" w:hAnsi="宋体"/>
          <w:szCs w:val="21"/>
          <w:highlight w:val="none"/>
        </w:rPr>
        <w:t xml:space="preserve">    开户银行：</w:t>
      </w:r>
    </w:p>
    <w:p w14:paraId="27390CD5">
      <w:pPr>
        <w:spacing w:line="360" w:lineRule="auto"/>
        <w:ind w:firstLine="420" w:firstLineChars="200"/>
        <w:rPr>
          <w:rFonts w:ascii="宋体" w:hAnsi="宋体"/>
          <w:szCs w:val="21"/>
          <w:highlight w:val="none"/>
        </w:rPr>
      </w:pPr>
      <w:r>
        <w:rPr>
          <w:rFonts w:hint="eastAsia" w:ascii="宋体" w:hAnsi="宋体"/>
          <w:szCs w:val="21"/>
          <w:highlight w:val="none"/>
        </w:rPr>
        <w:t>账号：</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账号：</w:t>
      </w:r>
    </w:p>
    <w:p w14:paraId="59DA44DA">
      <w:pPr>
        <w:spacing w:line="360" w:lineRule="auto"/>
        <w:ind w:firstLine="420" w:firstLineChars="200"/>
        <w:rPr>
          <w:rFonts w:ascii="宋体" w:hAnsi="宋体"/>
          <w:szCs w:val="21"/>
          <w:highlight w:val="none"/>
        </w:rPr>
      </w:pP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w:t>
      </w:r>
      <w:r>
        <w:rPr>
          <w:rFonts w:ascii="宋体" w:hAnsi="宋体"/>
          <w:szCs w:val="21"/>
          <w:highlight w:val="none"/>
        </w:rPr>
        <w:t xml:space="preserve">                         </w:t>
      </w:r>
      <w:r>
        <w:rPr>
          <w:rFonts w:hint="eastAsia" w:ascii="宋体" w:hAnsi="宋体"/>
          <w:szCs w:val="21"/>
          <w:highlight w:val="none"/>
        </w:rPr>
        <w:t xml:space="preserve">    电</w:t>
      </w:r>
      <w:r>
        <w:rPr>
          <w:rFonts w:ascii="宋体" w:hAnsi="宋体"/>
          <w:szCs w:val="21"/>
          <w:highlight w:val="none"/>
        </w:rPr>
        <w:t xml:space="preserve">    </w:t>
      </w:r>
      <w:r>
        <w:rPr>
          <w:rFonts w:hint="eastAsia" w:ascii="宋体" w:hAnsi="宋体"/>
          <w:szCs w:val="21"/>
          <w:highlight w:val="none"/>
        </w:rPr>
        <w:t>话：</w:t>
      </w:r>
    </w:p>
    <w:p w14:paraId="65012883">
      <w:pPr>
        <w:spacing w:line="360" w:lineRule="auto"/>
        <w:ind w:firstLine="420" w:firstLineChars="200"/>
        <w:rPr>
          <w:rFonts w:hint="eastAsia" w:ascii="宋体" w:hAnsi="宋体"/>
          <w:szCs w:val="21"/>
          <w:highlight w:val="none"/>
        </w:rPr>
      </w:pP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p>
    <w:p w14:paraId="212B1CB0">
      <w:pPr>
        <w:spacing w:line="360" w:lineRule="auto"/>
        <w:ind w:firstLine="420" w:firstLineChars="200"/>
      </w:pPr>
      <w:r>
        <w:rPr>
          <w:rFonts w:hint="eastAsia" w:ascii="宋体" w:hAnsi="宋体"/>
          <w:szCs w:val="21"/>
          <w:highlight w:val="none"/>
        </w:rPr>
        <w:t>签约日期：  年  月  日</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hint="eastAsia" w:ascii="宋体" w:hAnsi="宋体"/>
          <w:szCs w:val="21"/>
          <w:highlight w:val="none"/>
        </w:rPr>
        <w:t xml:space="preserve">   </w:t>
      </w:r>
      <w:r>
        <w:rPr>
          <w:rFonts w:hint="eastAsia" w:ascii="宋体" w:hAnsi="宋体"/>
          <w:szCs w:val="21"/>
          <w:highlight w:val="none"/>
          <w:lang w:val="en-US" w:eastAsia="zh-CN"/>
        </w:rPr>
        <w:t xml:space="preserve">    </w:t>
      </w:r>
      <w:r>
        <w:rPr>
          <w:rFonts w:hint="eastAsia" w:ascii="宋体" w:hAnsi="宋体"/>
          <w:szCs w:val="21"/>
          <w:highlight w:val="none"/>
        </w:rPr>
        <w:t xml:space="preserve">签约日期：    年  月  </w:t>
      </w:r>
      <w:r>
        <w:rPr>
          <w:rFonts w:hint="eastAsia" w:ascii="宋体" w:hAnsi="宋体"/>
          <w:color w:val="000000"/>
          <w:szCs w:val="21"/>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3114EA"/>
    <w:rsid w:val="5AC16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4">
    <w:name w:val="Normal Indent"/>
    <w:basedOn w:val="1"/>
    <w:next w:val="1"/>
    <w:qFormat/>
    <w:uiPriority w:val="0"/>
    <w:pPr>
      <w:ind w:firstLine="42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2572</Words>
  <Characters>2633</Characters>
  <Lines>0</Lines>
  <Paragraphs>0</Paragraphs>
  <TotalTime>1</TotalTime>
  <ScaleCrop>false</ScaleCrop>
  <LinksUpToDate>false</LinksUpToDate>
  <CharactersWithSpaces>2982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2025-05-06T02:08:00Z</dcterms:created>
  <dc:creator>Administrator</dc:creator>
  <cp:lastModifiedBy>┏ ☞岗か子™</cp:lastModifiedBy>
  <dcterms:modified xsi:type="dcterms:W3CDTF">2025-09-02T07:44:14Z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AA2E380C84B44CF7A88ED07CD003B9BD_12</vt:lpwstr>
  </property>
</Properties>
</file>