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版本号：ZDCG2025091501.1B120250923001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庞光街办定制化标准厂房项目（GX5-3-74）清表及垃圾清运项目(二次)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ZDCG2025091501.1B1</w:t>
      </w:r>
      <w:r>
        <w:br/>
      </w:r>
      <w:r>
        <w:br/>
      </w:r>
      <w:r>
        <w:br/>
      </w:r>
    </w:p>
    <w:p>
      <w:pPr>
        <w:pStyle w:val="null3"/>
        <w:jc w:val="center"/>
        <w:outlineLvl w:val="2"/>
      </w:pPr>
      <w:r>
        <w:rPr>
          <w:rFonts w:ascii="仿宋_GB2312" w:hAnsi="仿宋_GB2312" w:cs="仿宋_GB2312" w:eastAsia="仿宋_GB2312"/>
          <w:sz w:val="28"/>
          <w:b/>
        </w:rPr>
        <w:t>西安市鄠邑区庞光街道办事处</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西安市鄠邑区庞光街道办事处</w:t>
      </w:r>
      <w:r>
        <w:rPr>
          <w:rFonts w:ascii="仿宋_GB2312" w:hAnsi="仿宋_GB2312" w:cs="仿宋_GB2312" w:eastAsia="仿宋_GB2312"/>
        </w:rPr>
        <w:t>委托，拟对</w:t>
      </w:r>
      <w:r>
        <w:rPr>
          <w:rFonts w:ascii="仿宋_GB2312" w:hAnsi="仿宋_GB2312" w:cs="仿宋_GB2312" w:eastAsia="仿宋_GB2312"/>
        </w:rPr>
        <w:t>庞光街办定制化标准厂房项目（GX5-3-74）清表及垃圾清运项目(二次)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ZDCG2025091501.1B1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庞光街办定制化标准厂房项目（GX5-3-74）清表及垃圾清运项目(二次)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本工程位于西安市高新区庞光街道秦岭九路以南、草堂四路以东地籍编号为GX-3-65号地块清表及垃圾清运项目。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采购包1（庞光街办定制化标准厂房项目（GX5-3-74)清表及垃圾清运项目（二次））：属于专门面向中小企业采购。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2、纳税证明：提供2025年1月1日以来至少一个月已缴纳的任意税种的凭据；其他组织和自然人提供投标文件截止时间前半年内至少一个月缴纳税收的凭据，依法免税的应提供相关文件证明材料</w:t>
      </w:r>
    </w:p>
    <w:p>
      <w:pPr>
        <w:pStyle w:val="null3"/>
      </w:pPr>
      <w:r>
        <w:rPr>
          <w:rFonts w:ascii="仿宋_GB2312" w:hAnsi="仿宋_GB2312" w:cs="仿宋_GB2312" w:eastAsia="仿宋_GB2312"/>
        </w:rPr>
        <w:t>3、社保缴纳证明：提供2025年1月1日以来至少一个月的社会保障资金缴存单据或社保机构开具的社会保险参保缴费情况证明，依法不需要缴纳社会保障资金的单位应提供相关证明材料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5、供应商授权：法定代表人授权委托书（附法定代表人、被授权人身份证复印件）（法定代表人直接参加投标，须提供法定代表人身份证明及身份证复印件）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6、履约能力声明：具有履行合同所必需的设备和专业技术能力的声明</w:t>
      </w:r>
    </w:p>
    <w:p>
      <w:pPr>
        <w:pStyle w:val="null3"/>
      </w:pPr>
      <w:r>
        <w:rPr>
          <w:rFonts w:ascii="仿宋_GB2312" w:hAnsi="仿宋_GB2312" w:cs="仿宋_GB2312" w:eastAsia="仿宋_GB2312"/>
        </w:rPr>
        <w:t>7、企业资质：供应商具有建筑工程施工总承包三级及以上资质，并提供有效的安全生产许可证</w:t>
      </w:r>
    </w:p>
    <w:p>
      <w:pPr>
        <w:pStyle w:val="null3"/>
      </w:pPr>
      <w:r>
        <w:rPr>
          <w:rFonts w:ascii="仿宋_GB2312" w:hAnsi="仿宋_GB2312" w:cs="仿宋_GB2312" w:eastAsia="仿宋_GB2312"/>
        </w:rPr>
        <w:t>8、项目负责人资质要求：具备建筑工程专业二级及以上建造师执业资格,具有有效的安全生产考核合格证书（建安B证），且未担任其他在建工程项目的项目经理声明</w:t>
      </w:r>
    </w:p>
    <w:p>
      <w:pPr>
        <w:pStyle w:val="null3"/>
      </w:pPr>
      <w:r>
        <w:rPr>
          <w:rFonts w:ascii="仿宋_GB2312" w:hAnsi="仿宋_GB2312" w:cs="仿宋_GB2312" w:eastAsia="仿宋_GB2312"/>
        </w:rPr>
        <w:t>9、三年无违法声明：提供参加政府采购活动前3年内在经营活动中没有重大违法记录的书面声明</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西安市鄠邑区庞光街道办事处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西安市鄠邑区庞光街道府前街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029-84987322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胥巧欢、魏雪妮、马咄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13038580265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采购包1：2,923,500.03元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代理服务费收费标准：代理服务费收费标准：按照国家计委计价格［2002］1980号、发改办价格［2003］857号、发改价格[2011]534号文件规定的标准（以中标金额为计算基数）计取。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西安市鄠邑区庞光街道办事处</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西安市鄠邑区庞光街道办事处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西安市鄠邑区庞光街道办事处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联系人：胥工</w:t>
      </w:r>
    </w:p>
    <w:p>
      <w:pPr>
        <w:pStyle w:val="null3"/>
      </w:pPr>
      <w:r>
        <w:rPr>
          <w:rFonts w:ascii="仿宋_GB2312" w:hAnsi="仿宋_GB2312" w:cs="仿宋_GB2312" w:eastAsia="仿宋_GB2312"/>
        </w:rPr>
        <w:t>联系电话：13038580265</w:t>
      </w:r>
    </w:p>
    <w:p>
      <w:pPr>
        <w:pStyle w:val="null3"/>
      </w:pPr>
      <w:r>
        <w:rPr>
          <w:rFonts w:ascii="仿宋_GB2312" w:hAnsi="仿宋_GB2312" w:cs="仿宋_GB2312" w:eastAsia="仿宋_GB2312"/>
        </w:rPr>
        <w:t>地址：陕西省西安市新城区长乐中路 38号金花新都汇C座12层01室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2,923,500.03</w:t>
      </w:r>
    </w:p>
    <w:p>
      <w:pPr>
        <w:pStyle w:val="null3"/>
      </w:pPr>
      <w:r>
        <w:rPr>
          <w:rFonts w:ascii="仿宋_GB2312" w:hAnsi="仿宋_GB2312" w:cs="仿宋_GB2312" w:eastAsia="仿宋_GB2312"/>
        </w:rPr>
        <w:t>采购包最高限价（元）: 2,923,500.03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GX5-3-74号地块清表及垃圾清运项目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2,923,500.03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标的名称：GX5-3-74号地块清表及垃圾清运项目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both"/>
              <w:outlineLvl w:val="2"/>
            </w:pPr>
            <w:r>
              <w:rPr>
                <w:rFonts w:ascii="仿宋_GB2312" w:hAnsi="仿宋_GB2312" w:cs="仿宋_GB2312" w:eastAsia="仿宋_GB2312"/>
                <w:sz w:val="20"/>
                <w:b/>
              </w:rPr>
              <w:t>一、项目概况</w:t>
            </w:r>
          </w:p>
          <w:p>
            <w:pPr>
              <w:pStyle w:val="null3"/>
              <w:ind w:firstLine="400"/>
              <w:jc w:val="left"/>
            </w:pPr>
            <w:r>
              <w:rPr>
                <w:rFonts w:ascii="仿宋_GB2312" w:hAnsi="仿宋_GB2312" w:cs="仿宋_GB2312" w:eastAsia="仿宋_GB2312"/>
                <w:sz w:val="20"/>
              </w:rPr>
              <w:t>本工程位于西安市高新区庞光街道秦岭二路以东、秦岭七路以南，秦岭六路以北区域地籍编号为</w:t>
            </w:r>
            <w:r>
              <w:rPr>
                <w:rFonts w:ascii="仿宋_GB2312" w:hAnsi="仿宋_GB2312" w:cs="仿宋_GB2312" w:eastAsia="仿宋_GB2312"/>
                <w:sz w:val="20"/>
              </w:rPr>
              <w:t>GX5-3-74号地块清表及垃圾清运项目。</w:t>
            </w:r>
          </w:p>
          <w:p>
            <w:pPr>
              <w:pStyle w:val="null3"/>
              <w:spacing w:before="255" w:after="255"/>
              <w:jc w:val="both"/>
              <w:outlineLvl w:val="2"/>
            </w:pPr>
            <w:r>
              <w:rPr>
                <w:rFonts w:ascii="仿宋_GB2312" w:hAnsi="仿宋_GB2312" w:cs="仿宋_GB2312" w:eastAsia="仿宋_GB2312"/>
                <w:sz w:val="20"/>
                <w:b/>
              </w:rPr>
              <w:t>二、工程内容和施工地点、计划工期、缺陷责任期、质量保修期</w:t>
            </w:r>
          </w:p>
          <w:p>
            <w:pPr>
              <w:pStyle w:val="null3"/>
              <w:ind w:firstLine="400"/>
              <w:jc w:val="left"/>
            </w:pPr>
            <w:r>
              <w:rPr>
                <w:rFonts w:ascii="仿宋_GB2312" w:hAnsi="仿宋_GB2312" w:cs="仿宋_GB2312" w:eastAsia="仿宋_GB2312"/>
                <w:sz w:val="20"/>
              </w:rPr>
              <w:t>工程内容：</w:t>
            </w:r>
            <w:r>
              <w:rPr>
                <w:rFonts w:ascii="仿宋_GB2312" w:hAnsi="仿宋_GB2312" w:cs="仿宋_GB2312" w:eastAsia="仿宋_GB2312"/>
                <w:sz w:val="20"/>
              </w:rPr>
              <w:t>清表及垃圾外运</w:t>
            </w:r>
          </w:p>
          <w:p>
            <w:pPr>
              <w:pStyle w:val="null3"/>
              <w:numPr>
                <w:ilvl w:val="0"/>
                <w:numId w:val="1"/>
              </w:numPr>
              <w:jc w:val="left"/>
            </w:pPr>
            <w:r>
              <w:rPr>
                <w:rFonts w:ascii="仿宋_GB2312" w:hAnsi="仿宋_GB2312" w:cs="仿宋_GB2312" w:eastAsia="仿宋_GB2312"/>
                <w:sz w:val="20"/>
              </w:rPr>
              <w:t>工程地点：</w:t>
            </w:r>
            <w:r>
              <w:rPr>
                <w:rFonts w:ascii="仿宋_GB2312" w:hAnsi="仿宋_GB2312" w:cs="仿宋_GB2312" w:eastAsia="仿宋_GB2312"/>
                <w:sz w:val="20"/>
              </w:rPr>
              <w:t>西安市高新区庞光街道秦岭二路以东、秦岭七路以南，秦岭六路以北区域</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计划工期：自进场之日起</w:t>
            </w:r>
            <w:r>
              <w:rPr>
                <w:rFonts w:ascii="仿宋_GB2312" w:hAnsi="仿宋_GB2312" w:cs="仿宋_GB2312" w:eastAsia="仿宋_GB2312"/>
                <w:sz w:val="20"/>
              </w:rPr>
              <w:t>15个日历日内完成。</w:t>
            </w:r>
          </w:p>
          <w:p>
            <w:pPr>
              <w:pStyle w:val="null3"/>
              <w:ind w:firstLine="402"/>
              <w:jc w:val="both"/>
            </w:pPr>
            <w:r>
              <w:rPr>
                <w:rFonts w:ascii="仿宋_GB2312" w:hAnsi="仿宋_GB2312" w:cs="仿宋_GB2312" w:eastAsia="仿宋_GB2312"/>
                <w:sz w:val="20"/>
                <w:b/>
              </w:rPr>
              <w:t>三、执行的法律法规、技术规范</w:t>
            </w:r>
          </w:p>
          <w:p>
            <w:pPr>
              <w:pStyle w:val="null3"/>
              <w:ind w:firstLine="400"/>
              <w:jc w:val="both"/>
            </w:pPr>
            <w:r>
              <w:rPr>
                <w:rFonts w:ascii="仿宋_GB2312" w:hAnsi="仿宋_GB2312" w:cs="仿宋_GB2312" w:eastAsia="仿宋_GB2312"/>
                <w:sz w:val="20"/>
              </w:rPr>
              <w:t>（一）执行的法律法规、技术规范包括但不限于以下规定、规范、标准：</w:t>
            </w:r>
          </w:p>
          <w:p>
            <w:pPr>
              <w:pStyle w:val="null3"/>
              <w:ind w:firstLine="400"/>
              <w:jc w:val="both"/>
            </w:pPr>
            <w:r>
              <w:rPr>
                <w:rFonts w:ascii="仿宋_GB2312" w:hAnsi="仿宋_GB2312" w:cs="仿宋_GB2312" w:eastAsia="仿宋_GB2312"/>
                <w:sz w:val="20"/>
              </w:rPr>
              <w:t>《安全生产法》</w:t>
            </w:r>
          </w:p>
          <w:p>
            <w:pPr>
              <w:pStyle w:val="null3"/>
              <w:ind w:firstLine="400"/>
              <w:jc w:val="both"/>
            </w:pPr>
            <w:r>
              <w:rPr>
                <w:rFonts w:ascii="仿宋_GB2312" w:hAnsi="仿宋_GB2312" w:cs="仿宋_GB2312" w:eastAsia="仿宋_GB2312"/>
                <w:sz w:val="20"/>
              </w:rPr>
              <w:t>《建设工程安全生产管理条例》</w:t>
            </w:r>
          </w:p>
          <w:p>
            <w:pPr>
              <w:pStyle w:val="null3"/>
              <w:ind w:firstLine="400"/>
              <w:jc w:val="both"/>
            </w:pPr>
            <w:r>
              <w:rPr>
                <w:rFonts w:ascii="仿宋_GB2312" w:hAnsi="仿宋_GB2312" w:cs="仿宋_GB2312" w:eastAsia="仿宋_GB2312"/>
                <w:sz w:val="20"/>
              </w:rPr>
              <w:t>《西安市扬尘污染防治条例》</w:t>
            </w:r>
          </w:p>
          <w:p>
            <w:pPr>
              <w:pStyle w:val="null3"/>
              <w:ind w:firstLine="400"/>
              <w:jc w:val="both"/>
            </w:pPr>
            <w:r>
              <w:rPr>
                <w:rFonts w:ascii="仿宋_GB2312" w:hAnsi="仿宋_GB2312" w:cs="仿宋_GB2312" w:eastAsia="仿宋_GB2312"/>
                <w:sz w:val="20"/>
              </w:rPr>
              <w:t>《西安市建筑垃圾管理</w:t>
            </w:r>
            <w:r>
              <w:rPr>
                <w:rFonts w:ascii="仿宋_GB2312" w:hAnsi="仿宋_GB2312" w:cs="仿宋_GB2312" w:eastAsia="仿宋_GB2312"/>
                <w:sz w:val="20"/>
              </w:rPr>
              <w:t>条例</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《西安高新区治污减霾网格化管理工作实施方案》</w:t>
            </w:r>
          </w:p>
          <w:p>
            <w:pPr>
              <w:pStyle w:val="null3"/>
              <w:ind w:firstLine="400"/>
              <w:jc w:val="both"/>
            </w:pPr>
            <w:r>
              <w:rPr>
                <w:rFonts w:ascii="仿宋_GB2312" w:hAnsi="仿宋_GB2312" w:cs="仿宋_GB2312" w:eastAsia="仿宋_GB2312"/>
                <w:sz w:val="20"/>
              </w:rPr>
              <w:t>（二）质量标准</w:t>
            </w:r>
          </w:p>
          <w:p>
            <w:pPr>
              <w:pStyle w:val="null3"/>
              <w:ind w:right="-60" w:firstLine="400"/>
              <w:jc w:val="both"/>
            </w:pPr>
            <w:r>
              <w:rPr>
                <w:rFonts w:ascii="仿宋_GB2312" w:hAnsi="仿宋_GB2312" w:cs="仿宋_GB2312" w:eastAsia="仿宋_GB2312"/>
                <w:sz w:val="20"/>
              </w:rPr>
              <w:t>1、项目范围内的房屋及附属物全部采用湿法作业、机械拆除、拆迁现场无扬尘，严禁人工拆除。垃圾清运全部采用机械清运的施工方法，严禁人工清运。</w:t>
            </w:r>
          </w:p>
          <w:p>
            <w:pPr>
              <w:pStyle w:val="null3"/>
              <w:ind w:right="-60" w:firstLine="400"/>
              <w:jc w:val="both"/>
            </w:pPr>
            <w:r>
              <w:rPr>
                <w:rFonts w:ascii="仿宋_GB2312" w:hAnsi="仿宋_GB2312" w:cs="仿宋_GB2312" w:eastAsia="仿宋_GB2312"/>
                <w:sz w:val="20"/>
              </w:rPr>
              <w:t>2、拆除至现有室内地坪（室外硬化路面）以下0.4米完成场地平整。</w:t>
            </w:r>
          </w:p>
          <w:p>
            <w:pPr>
              <w:pStyle w:val="null3"/>
              <w:ind w:right="-60" w:firstLine="400"/>
              <w:jc w:val="both"/>
            </w:pPr>
            <w:r>
              <w:rPr>
                <w:rFonts w:ascii="仿宋_GB2312" w:hAnsi="仿宋_GB2312" w:cs="仿宋_GB2312" w:eastAsia="仿宋_GB2312"/>
                <w:sz w:val="20"/>
              </w:rPr>
              <w:t>3、按城市管理部门要求安装冲洗台、限高栏、联网监控和空气检测装置等，确保设备正常使用。</w:t>
            </w:r>
          </w:p>
          <w:p>
            <w:pPr>
              <w:pStyle w:val="null3"/>
              <w:ind w:right="-60" w:firstLine="400"/>
              <w:jc w:val="both"/>
            </w:pPr>
            <w:r>
              <w:rPr>
                <w:rFonts w:ascii="仿宋_GB2312" w:hAnsi="仿宋_GB2312" w:cs="仿宋_GB2312" w:eastAsia="仿宋_GB2312"/>
                <w:sz w:val="20"/>
              </w:rPr>
              <w:t>4、拆除地上建筑物、构筑物及附属物，以及破除室内地坪、硬化道路产生的全部建筑垃圾，严格按照城市管理部门指定的运输路线和倾倒场地清运，不得冒尖装栽、不得沿路抛洒。</w:t>
            </w:r>
          </w:p>
          <w:p>
            <w:pPr>
              <w:pStyle w:val="null3"/>
              <w:ind w:right="-60" w:firstLine="400"/>
              <w:jc w:val="both"/>
            </w:pPr>
            <w:r>
              <w:rPr>
                <w:rFonts w:ascii="仿宋_GB2312" w:hAnsi="仿宋_GB2312" w:cs="仿宋_GB2312" w:eastAsia="仿宋_GB2312"/>
                <w:sz w:val="20"/>
              </w:rPr>
              <w:t>5、垃圾清运最终达到室内地坪以上全部垃圾清运完毕，现场无任何遗留物（最后以采购人、中标人共同验收合格，签字确认为准）。且施工方要具有垃圾消纳的处置能力。</w:t>
            </w:r>
          </w:p>
          <w:p>
            <w:pPr>
              <w:pStyle w:val="null3"/>
              <w:ind w:right="-60" w:firstLine="400"/>
              <w:jc w:val="both"/>
            </w:pPr>
            <w:r>
              <w:rPr>
                <w:rFonts w:ascii="仿宋_GB2312" w:hAnsi="仿宋_GB2312" w:cs="仿宋_GB2312" w:eastAsia="仿宋_GB2312"/>
                <w:sz w:val="20"/>
              </w:rPr>
              <w:t>质量要求：合格。</w:t>
            </w:r>
          </w:p>
          <w:p>
            <w:pPr>
              <w:pStyle w:val="null3"/>
              <w:ind w:firstLine="402"/>
              <w:jc w:val="both"/>
            </w:pPr>
            <w:r>
              <w:rPr>
                <w:rFonts w:ascii="仿宋_GB2312" w:hAnsi="仿宋_GB2312" w:cs="仿宋_GB2312" w:eastAsia="仿宋_GB2312"/>
                <w:sz w:val="20"/>
                <w:b/>
              </w:rPr>
              <w:t>四</w:t>
            </w:r>
            <w:r>
              <w:rPr>
                <w:rFonts w:ascii="仿宋_GB2312" w:hAnsi="仿宋_GB2312" w:cs="仿宋_GB2312" w:eastAsia="仿宋_GB2312"/>
                <w:sz w:val="20"/>
                <w:b/>
              </w:rPr>
              <w:t>、工程实施期限</w:t>
            </w:r>
          </w:p>
          <w:p>
            <w:pPr>
              <w:pStyle w:val="null3"/>
              <w:ind w:firstLine="400"/>
              <w:jc w:val="both"/>
            </w:pPr>
            <w:r>
              <w:rPr>
                <w:rFonts w:ascii="仿宋_GB2312" w:hAnsi="仿宋_GB2312" w:cs="仿宋_GB2312" w:eastAsia="仿宋_GB2312"/>
                <w:sz w:val="20"/>
              </w:rPr>
              <w:t>1、中标人须在</w:t>
            </w:r>
            <w:r>
              <w:rPr>
                <w:rFonts w:ascii="仿宋_GB2312" w:hAnsi="仿宋_GB2312" w:cs="仿宋_GB2312" w:eastAsia="仿宋_GB2312"/>
                <w:sz w:val="20"/>
              </w:rPr>
              <w:t>合</w:t>
            </w:r>
            <w:r>
              <w:rPr>
                <w:rFonts w:ascii="仿宋_GB2312" w:hAnsi="仿宋_GB2312" w:cs="仿宋_GB2312" w:eastAsia="仿宋_GB2312"/>
                <w:sz w:val="20"/>
              </w:rPr>
              <w:t>同签订之日起</w:t>
            </w:r>
            <w:r>
              <w:rPr>
                <w:rFonts w:ascii="仿宋_GB2312" w:hAnsi="仿宋_GB2312" w:cs="仿宋_GB2312" w:eastAsia="仿宋_GB2312"/>
                <w:sz w:val="20"/>
              </w:rPr>
              <w:t>1</w:t>
            </w:r>
            <w:r>
              <w:rPr>
                <w:rFonts w:ascii="仿宋_GB2312" w:hAnsi="仿宋_GB2312" w:cs="仿宋_GB2312" w:eastAsia="仿宋_GB2312"/>
                <w:sz w:val="20"/>
              </w:rPr>
              <w:t>天内进驻并制作工程计划进度表，并经采购人书面同意；</w:t>
            </w:r>
          </w:p>
          <w:p>
            <w:pPr>
              <w:pStyle w:val="null3"/>
              <w:ind w:firstLine="400"/>
              <w:jc w:val="both"/>
            </w:pPr>
            <w:r>
              <w:rPr>
                <w:rFonts w:ascii="仿宋_GB2312" w:hAnsi="仿宋_GB2312" w:cs="仿宋_GB2312" w:eastAsia="仿宋_GB2312"/>
                <w:sz w:val="20"/>
              </w:rPr>
              <w:t>2、中标人同意在</w:t>
            </w:r>
            <w:r>
              <w:rPr>
                <w:rFonts w:ascii="仿宋_GB2312" w:hAnsi="仿宋_GB2312" w:cs="仿宋_GB2312" w:eastAsia="仿宋_GB2312"/>
                <w:sz w:val="20"/>
              </w:rPr>
              <w:t>3</w:t>
            </w:r>
            <w:r>
              <w:rPr>
                <w:rFonts w:ascii="仿宋_GB2312" w:hAnsi="仿宋_GB2312" w:cs="仿宋_GB2312" w:eastAsia="仿宋_GB2312"/>
                <w:sz w:val="20"/>
              </w:rPr>
              <w:t>天内开始施工；</w:t>
            </w:r>
          </w:p>
          <w:p>
            <w:pPr>
              <w:pStyle w:val="null3"/>
              <w:ind w:firstLine="400"/>
              <w:jc w:val="both"/>
            </w:pPr>
            <w:r>
              <w:rPr>
                <w:rFonts w:ascii="仿宋_GB2312" w:hAnsi="仿宋_GB2312" w:cs="仿宋_GB2312" w:eastAsia="仿宋_GB2312"/>
                <w:sz w:val="20"/>
              </w:rPr>
              <w:t>3、双方约定自施工之日起在</w:t>
            </w:r>
            <w:r>
              <w:rPr>
                <w:rFonts w:ascii="仿宋_GB2312" w:hAnsi="仿宋_GB2312" w:cs="仿宋_GB2312" w:eastAsia="仿宋_GB2312"/>
                <w:sz w:val="20"/>
              </w:rPr>
              <w:t>15</w:t>
            </w:r>
            <w:r>
              <w:rPr>
                <w:rFonts w:ascii="仿宋_GB2312" w:hAnsi="仿宋_GB2312" w:cs="仿宋_GB2312" w:eastAsia="仿宋_GB2312"/>
                <w:sz w:val="20"/>
              </w:rPr>
              <w:t>天完成约定的项目。遇阴雨天及不可抗力因素以及</w:t>
            </w:r>
            <w:r>
              <w:rPr>
                <w:rFonts w:ascii="仿宋_GB2312" w:hAnsi="仿宋_GB2312" w:cs="仿宋_GB2312" w:eastAsia="仿宋_GB2312"/>
                <w:sz w:val="20"/>
              </w:rPr>
              <w:t>其他</w:t>
            </w:r>
            <w:r>
              <w:rPr>
                <w:rFonts w:ascii="仿宋_GB2312" w:hAnsi="仿宋_GB2312" w:cs="仿宋_GB2312" w:eastAsia="仿宋_GB2312"/>
                <w:sz w:val="20"/>
              </w:rPr>
              <w:t>施工因素影响、工期相应顺延（顺延工期应由采购人、中标人共同签字确认）；</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由于中标人原因造成工期延迟视同中标人违约，则中标人赔付采购人违约金</w:t>
            </w:r>
            <w:r>
              <w:rPr>
                <w:rFonts w:ascii="仿宋_GB2312" w:hAnsi="仿宋_GB2312" w:cs="仿宋_GB2312" w:eastAsia="仿宋_GB2312"/>
                <w:sz w:val="20"/>
              </w:rPr>
              <w:t>至</w:t>
            </w:r>
            <w:r>
              <w:rPr>
                <w:rFonts w:ascii="仿宋_GB2312" w:hAnsi="仿宋_GB2312" w:cs="仿宋_GB2312" w:eastAsia="仿宋_GB2312"/>
                <w:sz w:val="20"/>
              </w:rPr>
              <w:t>清运价的</w:t>
            </w:r>
            <w:r>
              <w:rPr>
                <w:rFonts w:ascii="仿宋_GB2312" w:hAnsi="仿宋_GB2312" w:cs="仿宋_GB2312" w:eastAsia="仿宋_GB2312"/>
                <w:sz w:val="20"/>
              </w:rPr>
              <w:t>5‰／天。</w:t>
            </w:r>
          </w:p>
          <w:p>
            <w:pPr>
              <w:pStyle w:val="null3"/>
              <w:ind w:firstLine="402"/>
              <w:jc w:val="both"/>
            </w:pPr>
            <w:r>
              <w:rPr>
                <w:rFonts w:ascii="仿宋_GB2312" w:hAnsi="仿宋_GB2312" w:cs="仿宋_GB2312" w:eastAsia="仿宋_GB2312"/>
                <w:sz w:val="20"/>
                <w:b/>
              </w:rPr>
              <w:t>五、工程量清单</w:t>
            </w:r>
          </w:p>
          <w:tbl>
            <w:tblPr>
              <w:tblInd w:type="dxa" w:w="135"/>
              <w:tblBorders>
                <w:top w:val="none" w:color="000000" w:sz="4"/>
                <w:left w:val="none" w:color="000000" w:sz="4"/>
                <w:bottom w:val="none" w:color="000000" w:sz="4"/>
                <w:right w:val="none" w:color="000000" w:sz="4"/>
                <w:insideH w:val="none"/>
                <w:insideV w:val="none"/>
              </w:tblBorders>
            </w:tblPr>
            <w:tblGrid>
              <w:gridCol w:w="384"/>
              <w:gridCol w:w="1248"/>
              <w:gridCol w:w="412"/>
              <w:gridCol w:w="593"/>
              <w:gridCol w:w="542"/>
            </w:tblGrid>
            <w:tr>
              <w:tc>
                <w:tcPr>
                  <w:tcW w:type="dxa" w:w="3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序号</w:t>
                  </w:r>
                </w:p>
              </w:tc>
              <w:tc>
                <w:tcPr>
                  <w:tcW w:type="dxa" w:w="124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清单项目</w:t>
                  </w:r>
                </w:p>
              </w:tc>
              <w:tc>
                <w:tcPr>
                  <w:tcW w:type="dxa" w:w="4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单位</w:t>
                  </w:r>
                </w:p>
              </w:tc>
              <w:tc>
                <w:tcPr>
                  <w:tcW w:type="dxa" w:w="5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工程量</w:t>
                  </w:r>
                </w:p>
              </w:tc>
              <w:tc>
                <w:tcPr>
                  <w:tcW w:type="dxa" w:w="54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单价（元）</w:t>
                  </w:r>
                </w:p>
              </w:tc>
            </w:tr>
            <w:tr>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1</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房屋拆除</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w:t>
                  </w:r>
                </w:p>
              </w:tc>
              <w:tc>
                <w:tcPr>
                  <w:tcW w:type="dxa" w:w="5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2870.09</w:t>
                  </w:r>
                </w:p>
              </w:tc>
              <w:tc>
                <w:tcPr>
                  <w:tcW w:type="dxa" w:w="5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1.25</w:t>
                  </w:r>
                </w:p>
              </w:tc>
            </w:tr>
            <w:tr>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2</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道路拆除</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w:t>
                  </w:r>
                </w:p>
              </w:tc>
              <w:tc>
                <w:tcPr>
                  <w:tcW w:type="dxa" w:w="5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2151.42</w:t>
                  </w:r>
                </w:p>
              </w:tc>
              <w:tc>
                <w:tcPr>
                  <w:tcW w:type="dxa" w:w="5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17.00</w:t>
                  </w:r>
                </w:p>
              </w:tc>
            </w:tr>
            <w:tr>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3</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围墙拆除（墙高</w:t>
                  </w:r>
                  <w:r>
                    <w:rPr>
                      <w:rFonts w:ascii="仿宋_GB2312" w:hAnsi="仿宋_GB2312" w:cs="仿宋_GB2312" w:eastAsia="仿宋_GB2312"/>
                      <w:sz w:val="21"/>
                    </w:rPr>
                    <w:t>3m</w:t>
                  </w: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w:t>
                  </w:r>
                </w:p>
              </w:tc>
              <w:tc>
                <w:tcPr>
                  <w:tcW w:type="dxa" w:w="5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18.77</w:t>
                  </w:r>
                </w:p>
              </w:tc>
              <w:tc>
                <w:tcPr>
                  <w:tcW w:type="dxa" w:w="5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3.035</w:t>
                  </w:r>
                </w:p>
              </w:tc>
            </w:tr>
            <w:tr>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4</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垃圾外运（</w:t>
                  </w:r>
                  <w:r>
                    <w:rPr>
                      <w:rFonts w:ascii="仿宋_GB2312" w:hAnsi="仿宋_GB2312" w:cs="仿宋_GB2312" w:eastAsia="仿宋_GB2312"/>
                      <w:sz w:val="21"/>
                    </w:rPr>
                    <w:t>10km</w:t>
                  </w:r>
                  <w:r>
                    <w:rPr>
                      <w:rFonts w:ascii="仿宋_GB2312" w:hAnsi="仿宋_GB2312" w:cs="仿宋_GB2312" w:eastAsia="仿宋_GB2312"/>
                      <w:sz w:val="21"/>
                    </w:rPr>
                    <w:t>以内）</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m</w:t>
                  </w:r>
                  <w:r>
                    <w:rPr>
                      <w:rFonts w:ascii="仿宋_GB2312" w:hAnsi="仿宋_GB2312" w:cs="仿宋_GB2312" w:eastAsia="仿宋_GB2312"/>
                      <w:sz w:val="21"/>
                    </w:rPr>
                    <w:t>³</w:t>
                  </w:r>
                </w:p>
              </w:tc>
              <w:tc>
                <w:tcPr>
                  <w:tcW w:type="dxa" w:w="5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24643.43</w:t>
                  </w:r>
                </w:p>
              </w:tc>
              <w:tc>
                <w:tcPr>
                  <w:tcW w:type="dxa" w:w="5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65.00</w:t>
                  </w:r>
                </w:p>
              </w:tc>
            </w:tr>
            <w:tr>
              <w:tc>
                <w:tcPr>
                  <w:tcW w:type="dxa" w:w="3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5</w:t>
                  </w:r>
                </w:p>
              </w:tc>
              <w:tc>
                <w:tcPr>
                  <w:tcW w:type="dxa" w:w="124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垃圾外运（外超</w:t>
                  </w:r>
                  <w:r>
                    <w:rPr>
                      <w:rFonts w:ascii="仿宋_GB2312" w:hAnsi="仿宋_GB2312" w:cs="仿宋_GB2312" w:eastAsia="仿宋_GB2312"/>
                      <w:sz w:val="21"/>
                    </w:rPr>
                    <w:t>52km</w:t>
                  </w:r>
                  <w:r>
                    <w:rPr>
                      <w:rFonts w:ascii="仿宋_GB2312" w:hAnsi="仿宋_GB2312" w:cs="仿宋_GB2312" w:eastAsia="仿宋_GB2312"/>
                      <w:sz w:val="21"/>
                    </w:rPr>
                    <w:t>）</w:t>
                  </w:r>
                </w:p>
              </w:tc>
              <w:tc>
                <w:tcPr>
                  <w:tcW w:type="dxa" w:w="4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m</w:t>
                  </w:r>
                  <w:r>
                    <w:rPr>
                      <w:rFonts w:ascii="仿宋_GB2312" w:hAnsi="仿宋_GB2312" w:cs="仿宋_GB2312" w:eastAsia="仿宋_GB2312"/>
                      <w:sz w:val="21"/>
                    </w:rPr>
                    <w:t>³</w:t>
                  </w:r>
                </w:p>
              </w:tc>
              <w:tc>
                <w:tcPr>
                  <w:tcW w:type="dxa" w:w="5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24643.43</w:t>
                  </w:r>
                </w:p>
              </w:tc>
              <w:tc>
                <w:tcPr>
                  <w:tcW w:type="dxa" w:w="54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20"/>
                    <w:jc w:val="center"/>
                  </w:pPr>
                  <w:r>
                    <w:rPr>
                      <w:rFonts w:ascii="仿宋_GB2312" w:hAnsi="仿宋_GB2312" w:cs="仿宋_GB2312" w:eastAsia="仿宋_GB2312"/>
                      <w:sz w:val="21"/>
                    </w:rPr>
                    <w:t>52.00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1、工期：自进场之日起15个日历日内完成； 2、质量要求：合格 ； 3、供应商报价时各分项单价不得超过磋商文件中“工程量清单”的各单项单价，否则按无效标处理。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提供2025年1月1日以来至少一个月已缴纳的任意税种的凭据；其他组织和自然人提供投标文件截止时间前半年内至少一个月缴纳税收的凭据，依法免税的应提供相关文件证明材料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提供2025年1月1日以来至少一个月的社会保障资金缴存单据或社保机构开具的社会保险参保缴费情况证明，依法不需要缴纳社会保障资金的单位应提供相关证明材料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供应商具有建筑工程施工总承包三级及以上资质，并提供有效的安全生产许可证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具备建筑工程专业二级及以上建造师执业资格,具有有效的安全生产考核合格证书（建安B证），且未担任其他在建工程项目的项目经理声明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施工组织设计.docx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施工组织设计.docx 资格证明文件.docx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只能有一个有效报价，不得提交选择性报价，按要求提交二次或多次报价，且每轮报价单价及总价均不超过采购预算金额或最高限价或磋商小组认为低于成本价的报价；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完全响应竞争性磋商文件要求的各项技术（服务）、商务实质性条款，不能有采购人不能接受的附加条件；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一、评审内容：针对本项目制定的施工方案含：①施工准备②施工平面布置与安排③施工方案。④重难点及解决措施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上述四项评审内容全部满足评审标准得12分，每有一个评审内容缺项扣3分，每一项评审内容中每出现一处缺陷扣1分，扣完为止。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确保工程质量组织措施</w:t>
            </w:r>
          </w:p>
        </w:tc>
        <w:tc>
          <w:tcPr>
            <w:tcW w:type="dxa" w:w="2492"/>
          </w:tcPr>
          <w:p>
            <w:pPr>
              <w:pStyle w:val="null3"/>
            </w:pPr>
            <w:r>
              <w:rPr>
                <w:rFonts w:ascii="仿宋_GB2312" w:hAnsi="仿宋_GB2312" w:cs="仿宋_GB2312" w:eastAsia="仿宋_GB2312"/>
              </w:rPr>
              <w:t>一、评审内容：针对本项目制定的工程质量的技术组织措施包含：①质量管理目标②质量管理制度③质量保证措施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确保工期组织措施</w:t>
            </w:r>
          </w:p>
        </w:tc>
        <w:tc>
          <w:tcPr>
            <w:tcW w:type="dxa" w:w="2492"/>
          </w:tcPr>
          <w:p>
            <w:pPr>
              <w:pStyle w:val="null3"/>
            </w:pPr>
            <w:r>
              <w:rPr>
                <w:rFonts w:ascii="仿宋_GB2312" w:hAnsi="仿宋_GB2312" w:cs="仿宋_GB2312" w:eastAsia="仿宋_GB2312"/>
              </w:rPr>
              <w:t>一、评审内容：针对本项目制定的工期的技术组织措施包含：①进度计划安排②进度保障措施 二、评审标准： 1.完整性：方案全面，对评审内容中的各项要求有详细阐述； 2.可实施性：切合本项目实际情况，提出步骤清晰、合理的方案； 3.针对性：方案能够紧扣项目实际情况，内容科学合理。 上述两项评审内容全部满足评审标准得6分，每有一个评审内容缺项扣3分，每一项评审内容中每出现一处缺陷扣1分，扣完为止。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一、评审内容：针对本项目制定的安全保障措施包含：①安全施工组织方案管理目标②安全管理制度③安全保证措施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一、评审内容：针对本项目制定的文明施工措施及环境保护措施包含：①文明施工管理目标及技术措施②文明施工现场管理③环境保护措施。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项目管理机构与劳动力安排计划</w:t>
            </w:r>
          </w:p>
        </w:tc>
        <w:tc>
          <w:tcPr>
            <w:tcW w:type="dxa" w:w="2492"/>
          </w:tcPr>
          <w:p>
            <w:pPr>
              <w:pStyle w:val="null3"/>
            </w:pPr>
            <w:r>
              <w:rPr>
                <w:rFonts w:ascii="仿宋_GB2312" w:hAnsi="仿宋_GB2312" w:cs="仿宋_GB2312" w:eastAsia="仿宋_GB2312"/>
              </w:rPr>
              <w:t>一、评审内容：针对本项目制定的安全保障措施包含：①团队机构设置、组成人员名单，人员岗位职责②项目经理及团队人员中具有与本项目相关的专业人员证书（包括但不限于学历证、职称证、岗位证书等）③劳动力安排计划 二、评审标准： 1.完整性：方案全面，对评审内容中的各项要求有详细阐述； 2.可实施性：切合本项目实际情况，提出步骤清晰、合理的方案； 3.针对性：方案能够紧扣项目实际情况，内容科学合理。 上述三项评审内容全部满足评审标准得9分，每有一个评审内容缺项扣3分，每一项评审内容中每出现一处缺陷扣1分，扣完为止。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近三年（2022年1月1日至今）承接有类似业绩（每个2分，满分10分）。 注：①类似业绩时间以中标通知书或合同协议书最终签署日期为准； ②企业业绩以中标通知书或合同协议书复印件并加盖单位公章为准； ③类似业绩是同类型项目业绩。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一、评审内容：对本项目提供的服务承诺包含：①施工过程中的相关承诺②服务响应时间③服务响应措施。 二、评审标准： 1.完整性：方案全面，对评审内容有详细阐述； 2.可实施性：切合本项目实际情况，提出步骤清晰、合理的方案； 3.针对性：方案能够紧扣项目实际情况，内容科学合理。 上述三项评审内容全部满足评审标准得6分，每有一个评审内容缺项扣2分，评审内容中每出现一处缺陷扣0.5分，扣完为止。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