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版本号：SDZC2025-17120250924001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西安市市场监督管理局高新区分局高新辖区2025年、2026年食品相关产品抽检服务项目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SDZC2025-171</w:t>
      </w:r>
      <w:r>
        <w:br/>
      </w:r>
      <w:r>
        <w:br/>
      </w:r>
      <w:r>
        <w:br/>
      </w:r>
    </w:p>
    <w:p>
      <w:pPr>
        <w:pStyle w:val="null3"/>
        <w:jc w:val="center"/>
        <w:outlineLvl w:val="2"/>
      </w:pPr>
      <w:r>
        <w:rPr>
          <w:rFonts w:ascii="仿宋_GB2312" w:hAnsi="仿宋_GB2312" w:cs="仿宋_GB2312" w:eastAsia="仿宋_GB2312"/>
          <w:sz w:val="28"/>
          <w:b/>
        </w:rPr>
        <w:t>西安高新技术产业开发区行政审批服务局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西安高新技术产业开发区行政审批服务局</w:t>
      </w:r>
      <w:r>
        <w:rPr>
          <w:rFonts w:ascii="仿宋_GB2312" w:hAnsi="仿宋_GB2312" w:cs="仿宋_GB2312" w:eastAsia="仿宋_GB2312"/>
        </w:rPr>
        <w:t>委托，拟对</w:t>
      </w:r>
      <w:r>
        <w:rPr>
          <w:rFonts w:ascii="仿宋_GB2312" w:hAnsi="仿宋_GB2312" w:cs="仿宋_GB2312" w:eastAsia="仿宋_GB2312"/>
        </w:rPr>
        <w:t>西安市市场监督管理局高新区分局高新辖区2025年、2026年食品相关产品抽检服务项目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SDZC2025-171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西安市市场监督管理局高新区分局高新辖区2025年、2026年食品相关产品抽检服务项目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西安市市场监督管理局高新区分局高新辖区2025年、2026年食品相关产品抽检服务项目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采购包1（高新辖区2025年、2026年食品相关产品抽检服务）：属于专门面向中小企业采购。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1、营业执照：提供供应商合法注册的法人或者其他组织的营业执照等证明文件、自然人的身份证明；</w:t>
      </w:r>
    </w:p>
    <w:p>
      <w:pPr>
        <w:pStyle w:val="null3"/>
      </w:pPr>
      <w:r>
        <w:rPr>
          <w:rFonts w:ascii="仿宋_GB2312" w:hAnsi="仿宋_GB2312" w:cs="仿宋_GB2312" w:eastAsia="仿宋_GB2312"/>
        </w:rPr>
        <w:t>2、供应商须满足《中华人民共和国政府采购法》第二十二条规定（提供承诺函）；供应商需在项目电子化交易系统中按要求上传相应证明文件并进行电子签章：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3、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4、证书：具有检验检测机构资质认定证书CMA；（证书附表要包含食品接触材料)</w:t>
      </w:r>
    </w:p>
    <w:p>
      <w:pPr>
        <w:pStyle w:val="null3"/>
      </w:pPr>
      <w:r>
        <w:rPr>
          <w:rFonts w:ascii="仿宋_GB2312" w:hAnsi="仿宋_GB2312" w:cs="仿宋_GB2312" w:eastAsia="仿宋_GB2312"/>
        </w:rPr>
        <w:t>5、控股管理关系：单位负责人为同一人或者存在直接控股、管理关系的不同供应商，不得参加同一合同项下的政府采购活动。（此项在投标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高新区锦业路1号都市之门A座1501室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18192288927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宋薇（2号工位）、姚文霄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代理服务费收费标准：成交人在领取成交通知书时，向陕西上德招标有限公司交纳招标代理服务费人民币陆仟元整。 汇款账户：1.开户行名称：陕西上德招标有限公司 2.开 户 行：西安银行股份有限公司文景路支行 3.帐 号：7070 1151 00000 13522 财务部联系方式：029-86673953、029-86518381、029-89299829、029-89293231转813 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西安高新技术产业开发区行政审批服务局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依照检测样品的国家标准执行。对没有国家标准的，可参照相关行业标准、地方标准、企业标准或国家明文规定的限量值及国家指定的特定检验方法进行检验。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联系人：宋薇（2号工位）</w:t>
      </w:r>
    </w:p>
    <w:p>
      <w:pPr>
        <w:pStyle w:val="null3"/>
      </w:pPr>
      <w:r>
        <w:rPr>
          <w:rFonts w:ascii="仿宋_GB2312" w:hAnsi="仿宋_GB2312" w:cs="仿宋_GB2312" w:eastAsia="仿宋_GB2312"/>
        </w:rPr>
        <w:t>联系电话：029-86673953/86518381/89299829/89293231转802</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西安市市场监督管理局高新区分局高新辖区2025年、2026年食品相关产品抽检服务项目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食品相关产品抽检服务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标的名称：食品相关产品抽检服务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一、服务要求</w:t>
            </w:r>
          </w:p>
          <w:p>
            <w:pPr>
              <w:pStyle w:val="null3"/>
            </w:pPr>
            <w:r>
              <w:rPr>
                <w:rFonts w:ascii="仿宋_GB2312" w:hAnsi="仿宋_GB2312" w:cs="仿宋_GB2312" w:eastAsia="仿宋_GB2312"/>
              </w:rPr>
              <w:t>1、服务期限：自合同签订之日起至2026年12月31日止；</w:t>
            </w:r>
          </w:p>
          <w:p>
            <w:pPr>
              <w:pStyle w:val="null3"/>
            </w:pPr>
            <w:r>
              <w:rPr>
                <w:rFonts w:ascii="仿宋_GB2312" w:hAnsi="仿宋_GB2312" w:cs="仿宋_GB2312" w:eastAsia="仿宋_GB2312"/>
              </w:rPr>
              <w:t>2、能提供高效抽检服务，全天提供24小时服务，能接受抽样工作委托，有专门团队负责配合采样；</w:t>
            </w:r>
          </w:p>
          <w:p>
            <w:pPr>
              <w:pStyle w:val="null3"/>
            </w:pPr>
            <w:r>
              <w:rPr>
                <w:rFonts w:ascii="仿宋_GB2312" w:hAnsi="仿宋_GB2312" w:cs="仿宋_GB2312" w:eastAsia="仿宋_GB2312"/>
              </w:rPr>
              <w:t>3、抽检样品必须在当天进入检测实验室，以确保样品检测报告的准确性、报告复检维持率高；</w:t>
            </w:r>
          </w:p>
          <w:p>
            <w:pPr>
              <w:pStyle w:val="null3"/>
            </w:pPr>
            <w:r>
              <w:rPr>
                <w:rFonts w:ascii="仿宋_GB2312" w:hAnsi="仿宋_GB2312" w:cs="仿宋_GB2312" w:eastAsia="仿宋_GB2312"/>
              </w:rPr>
              <w:t>4、能够熟练运用各级抽检系统，及时准确地录入抽检、检验信息，辅助我局完成统计报表、信息公示等工作；</w:t>
            </w:r>
          </w:p>
          <w:p>
            <w:pPr>
              <w:pStyle w:val="null3"/>
            </w:pPr>
            <w:r>
              <w:rPr>
                <w:rFonts w:ascii="仿宋_GB2312" w:hAnsi="仿宋_GB2312" w:cs="仿宋_GB2312" w:eastAsia="仿宋_GB2312"/>
              </w:rPr>
              <w:t>5、有能满足采样、运输、检验等工作的车辆、设备等硬件；</w:t>
            </w:r>
          </w:p>
          <w:p>
            <w:pPr>
              <w:pStyle w:val="null3"/>
            </w:pPr>
            <w:r>
              <w:rPr>
                <w:rFonts w:ascii="仿宋_GB2312" w:hAnsi="仿宋_GB2312" w:cs="仿宋_GB2312" w:eastAsia="仿宋_GB2312"/>
              </w:rPr>
              <w:t>6、不得将检验任务外包或分包给其他检测机构检验；</w:t>
            </w:r>
          </w:p>
          <w:p>
            <w:pPr>
              <w:pStyle w:val="null3"/>
            </w:pPr>
            <w:r>
              <w:rPr>
                <w:rFonts w:ascii="仿宋_GB2312" w:hAnsi="仿宋_GB2312" w:cs="仿宋_GB2312" w:eastAsia="仿宋_GB2312"/>
              </w:rPr>
              <w:t>7、若供应商出具虚假、错误检验数据和结论，一经发现，立即取消合作资格；</w:t>
            </w:r>
          </w:p>
          <w:p>
            <w:pPr>
              <w:pStyle w:val="null3"/>
            </w:pPr>
            <w:r>
              <w:rPr>
                <w:rFonts w:ascii="仿宋_GB2312" w:hAnsi="仿宋_GB2312" w:cs="仿宋_GB2312" w:eastAsia="仿宋_GB2312"/>
              </w:rPr>
              <w:t>8、须提供相关的业务咨询、报告分析等服务；</w:t>
            </w:r>
          </w:p>
          <w:p>
            <w:pPr>
              <w:pStyle w:val="null3"/>
            </w:pPr>
            <w:r>
              <w:rPr>
                <w:rFonts w:ascii="仿宋_GB2312" w:hAnsi="仿宋_GB2312" w:cs="仿宋_GB2312" w:eastAsia="仿宋_GB2312"/>
              </w:rPr>
              <w:t>9、检验机构收到检品后20个工作日出具检验报告。对于特殊、涉案样品的检验，3天出结果，7天出报告；</w:t>
            </w:r>
          </w:p>
          <w:p>
            <w:pPr>
              <w:pStyle w:val="null3"/>
            </w:pPr>
            <w:r>
              <w:rPr>
                <w:rFonts w:ascii="仿宋_GB2312" w:hAnsi="仿宋_GB2312" w:cs="仿宋_GB2312" w:eastAsia="仿宋_GB2312"/>
              </w:rPr>
              <w:t>10、有完善的投诉受理机制，能够对委托检验人提出的异议做出有效回应；</w:t>
            </w:r>
          </w:p>
          <w:p>
            <w:pPr>
              <w:pStyle w:val="null3"/>
            </w:pPr>
            <w:r>
              <w:rPr>
                <w:rFonts w:ascii="仿宋_GB2312" w:hAnsi="仿宋_GB2312" w:cs="仿宋_GB2312" w:eastAsia="仿宋_GB2312"/>
              </w:rPr>
              <w:t>11、供应商检验检测项目未达到100%时，应承诺其余项目在服务合同签订后2个月内完成扩项，若成交后未能及时完成扩项，采购人有权终止合同；</w:t>
            </w:r>
          </w:p>
          <w:p>
            <w:pPr>
              <w:pStyle w:val="null3"/>
            </w:pPr>
            <w:r>
              <w:rPr>
                <w:rFonts w:ascii="仿宋_GB2312" w:hAnsi="仿宋_GB2312" w:cs="仿宋_GB2312" w:eastAsia="仿宋_GB2312"/>
              </w:rPr>
              <w:t>12、供应商成交后，承担对应包项的检测任务，应逐月完成当月任务，并当月汇总本月的抽检清单；</w:t>
            </w:r>
          </w:p>
          <w:p>
            <w:pPr>
              <w:pStyle w:val="null3"/>
            </w:pPr>
            <w:r>
              <w:rPr>
                <w:rFonts w:ascii="仿宋_GB2312" w:hAnsi="仿宋_GB2312" w:cs="仿宋_GB2312" w:eastAsia="仿宋_GB2312"/>
              </w:rPr>
              <w:t>13、乙方要提高抽样靶向性，严格按照国家相关标准进行检测，并实施必要的质量控制措施，提高问题食品相关产品发现率。因承检机构严重影响我局阶段性考核任务的，乙方要立即整改。若经过整改后还无法满足要求，甲方可根据情况采取扣减部分抽检费用或无偿追加相应批次的任务。</w:t>
            </w:r>
          </w:p>
          <w:p>
            <w:pPr>
              <w:pStyle w:val="null3"/>
            </w:pPr>
            <w:r>
              <w:rPr>
                <w:rFonts w:ascii="仿宋_GB2312" w:hAnsi="仿宋_GB2312" w:cs="仿宋_GB2312" w:eastAsia="仿宋_GB2312"/>
              </w:rPr>
              <w:t>14、乙方对复检备份样品要按时限进行保管，且建立台账，到期后需按甲方要求进行统一处理。</w:t>
            </w:r>
          </w:p>
          <w:p>
            <w:pPr>
              <w:pStyle w:val="null3"/>
            </w:pPr>
            <w:r>
              <w:rPr>
                <w:rFonts w:ascii="仿宋_GB2312" w:hAnsi="仿宋_GB2312" w:cs="仿宋_GB2312" w:eastAsia="仿宋_GB2312"/>
              </w:rPr>
              <w:t>15、对于抽检出来的不合格样品，经复检后推翻其初检结论时，根据情节程度，甲方可约谈乙方主要负责人，限期改正，同时可扣减部分抽检费用或无偿追加相应批次的任务。</w:t>
            </w:r>
          </w:p>
          <w:p>
            <w:pPr>
              <w:pStyle w:val="null3"/>
            </w:pPr>
            <w:r>
              <w:rPr>
                <w:rFonts w:ascii="仿宋_GB2312" w:hAnsi="仿宋_GB2312" w:cs="仿宋_GB2312" w:eastAsia="仿宋_GB2312"/>
              </w:rPr>
              <w:t>16、检验材料明细见下表。</w:t>
            </w:r>
          </w:p>
          <w:p>
            <w:pPr>
              <w:pStyle w:val="null3"/>
            </w:pPr>
            <w:r>
              <w:rPr>
                <w:rFonts w:ascii="仿宋_GB2312" w:hAnsi="仿宋_GB2312" w:cs="仿宋_GB2312" w:eastAsia="仿宋_GB2312"/>
              </w:rPr>
              <w:t>二、检验材料明细</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产品</w:t>
                  </w:r>
                </w:p>
              </w:tc>
              <w:tc>
                <w:tcPr>
                  <w:tcW w:type="dxa" w:w="511"/>
                </w:tcPr>
                <w:p>
                  <w:pPr>
                    <w:pStyle w:val="null3"/>
                  </w:pPr>
                  <w:r>
                    <w:rPr>
                      <w:rFonts w:ascii="仿宋_GB2312" w:hAnsi="仿宋_GB2312" w:cs="仿宋_GB2312" w:eastAsia="仿宋_GB2312"/>
                    </w:rPr>
                    <w:t>检测参数</w:t>
                  </w:r>
                </w:p>
              </w:tc>
              <w:tc>
                <w:tcPr>
                  <w:tcW w:type="dxa" w:w="511"/>
                </w:tcPr>
                <w:p>
                  <w:pPr>
                    <w:pStyle w:val="null3"/>
                  </w:pPr>
                  <w:r>
                    <w:rPr>
                      <w:rFonts w:ascii="仿宋_GB2312" w:hAnsi="仿宋_GB2312" w:cs="仿宋_GB2312" w:eastAsia="仿宋_GB2312"/>
                    </w:rPr>
                    <w:t>参考标准</w:t>
                  </w:r>
                </w:p>
              </w:tc>
              <w:tc>
                <w:tcPr>
                  <w:tcW w:type="dxa" w:w="511"/>
                </w:tcPr>
                <w:p>
                  <w:pPr>
                    <w:pStyle w:val="null3"/>
                  </w:pPr>
                  <w:r>
                    <w:rPr>
                      <w:rFonts w:ascii="仿宋_GB2312" w:hAnsi="仿宋_GB2312" w:cs="仿宋_GB2312" w:eastAsia="仿宋_GB2312"/>
                    </w:rPr>
                    <w:t>计划批次</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一次性筷子</w:t>
                  </w:r>
                </w:p>
              </w:tc>
              <w:tc>
                <w:tcPr>
                  <w:tcW w:type="dxa" w:w="511"/>
                </w:tcPr>
                <w:p>
                  <w:pPr>
                    <w:pStyle w:val="null3"/>
                  </w:pPr>
                  <w:r>
                    <w:rPr>
                      <w:rFonts w:ascii="仿宋_GB2312" w:hAnsi="仿宋_GB2312" w:cs="仿宋_GB2312" w:eastAsia="仿宋_GB2312"/>
                    </w:rPr>
                    <w:t>感官要求、外观尺寸、含水率、二氧化硫浸出量、包装、标志</w:t>
                  </w:r>
                </w:p>
              </w:tc>
              <w:tc>
                <w:tcPr>
                  <w:tcW w:type="dxa" w:w="511"/>
                </w:tcPr>
                <w:p>
                  <w:pPr>
                    <w:pStyle w:val="null3"/>
                  </w:pPr>
                  <w:r>
                    <w:rPr>
                      <w:rFonts w:ascii="仿宋_GB2312" w:hAnsi="仿宋_GB2312" w:cs="仿宋_GB2312" w:eastAsia="仿宋_GB2312"/>
                    </w:rPr>
                    <w:t>一次性筷子 第1部分：木筷 GB/T 19790.1-2021、一次性筷子 第2部分：竹筷 GB/T 19790.2-2005、植物纤维一次性筷子 GB/T 24398-2009</w:t>
                  </w:r>
                </w:p>
              </w:tc>
              <w:tc>
                <w:tcPr>
                  <w:tcW w:type="dxa" w:w="511"/>
                </w:tcPr>
                <w:p>
                  <w:pPr>
                    <w:pStyle w:val="null3"/>
                  </w:pPr>
                  <w:r>
                    <w:rPr>
                      <w:rFonts w:ascii="仿宋_GB2312" w:hAnsi="仿宋_GB2312" w:cs="仿宋_GB2312" w:eastAsia="仿宋_GB2312"/>
                    </w:rPr>
                    <w:t>15</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塑料一次性餐饮具</w:t>
                  </w:r>
                </w:p>
              </w:tc>
              <w:tc>
                <w:tcPr>
                  <w:tcW w:type="dxa" w:w="511"/>
                </w:tcPr>
                <w:p>
                  <w:pPr>
                    <w:pStyle w:val="null3"/>
                  </w:pPr>
                  <w:r>
                    <w:rPr>
                      <w:rFonts w:ascii="仿宋_GB2312" w:hAnsi="仿宋_GB2312" w:cs="仿宋_GB2312" w:eastAsia="仿宋_GB2312"/>
                    </w:rPr>
                    <w:t>异嗅、外观和结构、容积偏差、负重性能、跌落性能、盖体对折性能、耐温性能、漏水试验、耐微波炉试验、含水量、标志、包装</w:t>
                  </w:r>
                </w:p>
              </w:tc>
              <w:tc>
                <w:tcPr>
                  <w:tcW w:type="dxa" w:w="511"/>
                </w:tcPr>
                <w:p>
                  <w:pPr>
                    <w:pStyle w:val="null3"/>
                  </w:pPr>
                  <w:r>
                    <w:rPr>
                      <w:rFonts w:ascii="仿宋_GB2312" w:hAnsi="仿宋_GB2312" w:cs="仿宋_GB2312" w:eastAsia="仿宋_GB2312"/>
                    </w:rPr>
                    <w:t>塑料一次性餐饮具通用技术要求 GB/T 18006.1-2009/6.1</w:t>
                  </w:r>
                </w:p>
              </w:tc>
              <w:tc>
                <w:tcPr>
                  <w:tcW w:type="dxa" w:w="511"/>
                </w:tcPr>
                <w:p>
                  <w:pPr>
                    <w:pStyle w:val="null3"/>
                  </w:pPr>
                  <w:r>
                    <w:rPr>
                      <w:rFonts w:ascii="仿宋_GB2312" w:hAnsi="仿宋_GB2312" w:cs="仿宋_GB2312" w:eastAsia="仿宋_GB2312"/>
                    </w:rPr>
                    <w:t>10</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一次性可降解餐饮具</w:t>
                  </w:r>
                </w:p>
              </w:tc>
              <w:tc>
                <w:tcPr>
                  <w:tcW w:type="dxa" w:w="511"/>
                </w:tcPr>
                <w:p>
                  <w:pPr>
                    <w:pStyle w:val="null3"/>
                  </w:pPr>
                  <w:r>
                    <w:rPr>
                      <w:rFonts w:ascii="仿宋_GB2312" w:hAnsi="仿宋_GB2312" w:cs="仿宋_GB2312" w:eastAsia="仿宋_GB2312"/>
                    </w:rPr>
                    <w:t>外观、结构、容积偏差、负重性能、跌落性能、盖体对折性能、耐热性能、漏水性、含水量、包装标识、包装</w:t>
                  </w:r>
                </w:p>
              </w:tc>
              <w:tc>
                <w:tcPr>
                  <w:tcW w:type="dxa" w:w="511"/>
                </w:tcPr>
                <w:p>
                  <w:pPr>
                    <w:pStyle w:val="null3"/>
                  </w:pPr>
                  <w:r>
                    <w:rPr>
                      <w:rFonts w:ascii="仿宋_GB2312" w:hAnsi="仿宋_GB2312" w:cs="仿宋_GB2312" w:eastAsia="仿宋_GB2312"/>
                    </w:rPr>
                    <w:t>一次性可降解餐饮具通用技术要求 GB/T 18006.3-2020</w:t>
                  </w:r>
                </w:p>
              </w:tc>
              <w:tc>
                <w:tcPr>
                  <w:tcW w:type="dxa" w:w="511"/>
                </w:tcPr>
                <w:p>
                  <w:pPr>
                    <w:pStyle w:val="null3"/>
                  </w:pPr>
                  <w:r>
                    <w:rPr>
                      <w:rFonts w:ascii="仿宋_GB2312" w:hAnsi="仿宋_GB2312" w:cs="仿宋_GB2312" w:eastAsia="仿宋_GB2312"/>
                    </w:rPr>
                    <w:t>5</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食品用塑料自粘保鲜膜</w:t>
                  </w:r>
                </w:p>
              </w:tc>
              <w:tc>
                <w:tcPr>
                  <w:tcW w:type="dxa" w:w="511"/>
                </w:tcPr>
                <w:p>
                  <w:pPr>
                    <w:pStyle w:val="null3"/>
                  </w:pPr>
                  <w:r>
                    <w:rPr>
                      <w:rFonts w:ascii="仿宋_GB2312" w:hAnsi="仿宋_GB2312" w:cs="仿宋_GB2312" w:eastAsia="仿宋_GB2312"/>
                    </w:rPr>
                    <w:t>颜色、厚度偏差、宽度偏差、净卷重质量偏差、外观、拉伸强度、断裂标称应标、透光率、雾度、直角撕裂强度、自粘性(剪切剥离强度)、开卷性、防雾性、标志、包装</w:t>
                  </w:r>
                </w:p>
              </w:tc>
              <w:tc>
                <w:tcPr>
                  <w:tcW w:type="dxa" w:w="511"/>
                </w:tcPr>
                <w:p>
                  <w:pPr>
                    <w:pStyle w:val="null3"/>
                  </w:pPr>
                  <w:r>
                    <w:rPr>
                      <w:rFonts w:ascii="仿宋_GB2312" w:hAnsi="仿宋_GB2312" w:cs="仿宋_GB2312" w:eastAsia="仿宋_GB2312"/>
                    </w:rPr>
                    <w:t>食品用塑料自粘保鲜膜 GB/T 10457-2009</w:t>
                  </w:r>
                </w:p>
              </w:tc>
              <w:tc>
                <w:tcPr>
                  <w:tcW w:type="dxa" w:w="511"/>
                </w:tcPr>
                <w:p>
                  <w:pPr>
                    <w:pStyle w:val="null3"/>
                  </w:pPr>
                  <w:r>
                    <w:rPr>
                      <w:rFonts w:ascii="仿宋_GB2312" w:hAnsi="仿宋_GB2312" w:cs="仿宋_GB2312" w:eastAsia="仿宋_GB2312"/>
                    </w:rPr>
                    <w:t>15</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塑料购物袋</w:t>
                  </w:r>
                </w:p>
              </w:tc>
              <w:tc>
                <w:tcPr>
                  <w:tcW w:type="dxa" w:w="511"/>
                </w:tcPr>
                <w:p>
                  <w:pPr>
                    <w:pStyle w:val="null3"/>
                  </w:pPr>
                  <w:r>
                    <w:rPr>
                      <w:rFonts w:ascii="仿宋_GB2312" w:hAnsi="仿宋_GB2312" w:cs="仿宋_GB2312" w:eastAsia="仿宋_GB2312"/>
                    </w:rPr>
                    <w:t>标识要求、环保要求、厚度及偏差、宽度偏差、长度偏差、颜色、异嗅、外观、跌落试验、漏水性、封合强度、包装标志</w:t>
                  </w:r>
                </w:p>
              </w:tc>
              <w:tc>
                <w:tcPr>
                  <w:tcW w:type="dxa" w:w="511"/>
                </w:tcPr>
                <w:p>
                  <w:pPr>
                    <w:pStyle w:val="null3"/>
                  </w:pPr>
                  <w:r>
                    <w:rPr>
                      <w:rFonts w:ascii="仿宋_GB2312" w:hAnsi="仿宋_GB2312" w:cs="仿宋_GB2312" w:eastAsia="仿宋_GB2312"/>
                    </w:rPr>
                    <w:t>塑料购物袋 GB/T 21661-2020/5.1</w:t>
                  </w:r>
                </w:p>
              </w:tc>
              <w:tc>
                <w:tcPr>
                  <w:tcW w:type="dxa" w:w="511"/>
                </w:tcPr>
                <w:p>
                  <w:pPr>
                    <w:pStyle w:val="null3"/>
                  </w:pPr>
                  <w:r>
                    <w:rPr>
                      <w:rFonts w:ascii="仿宋_GB2312" w:hAnsi="仿宋_GB2312" w:cs="仿宋_GB2312" w:eastAsia="仿宋_GB2312"/>
                    </w:rPr>
                    <w:t>15</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婴幼儿用奶瓶和奶嘴</w:t>
                  </w:r>
                </w:p>
              </w:tc>
              <w:tc>
                <w:tcPr>
                  <w:tcW w:type="dxa" w:w="511"/>
                </w:tcPr>
                <w:p>
                  <w:pPr>
                    <w:pStyle w:val="null3"/>
                  </w:pPr>
                  <w:r>
                    <w:rPr>
                      <w:rFonts w:ascii="仿宋_GB2312" w:hAnsi="仿宋_GB2312" w:cs="仿宋_GB2312" w:eastAsia="仿宋_GB2312"/>
                    </w:rPr>
                    <w:t>外观、边缘和尖端、印刷图案油墨附着力、容量刻度和容量偏差、小零件、密封垫片、奶瓶部件配合、耐沸水性能、耐热冲击性能、密封性能、透光性能、玻璃奶瓶瓶身耐热冲击性能、玻璃奶瓶瓶身耐水性、标识</w:t>
                  </w:r>
                </w:p>
              </w:tc>
              <w:tc>
                <w:tcPr>
                  <w:tcW w:type="dxa" w:w="511"/>
                </w:tcPr>
                <w:p>
                  <w:pPr>
                    <w:pStyle w:val="null3"/>
                  </w:pPr>
                  <w:r>
                    <w:rPr>
                      <w:rFonts w:ascii="仿宋_GB2312" w:hAnsi="仿宋_GB2312" w:cs="仿宋_GB2312" w:eastAsia="仿宋_GB2312"/>
                    </w:rPr>
                    <w:t>食品安全国家标准 奶嘴  GB 4806.2-2015、婴幼儿用奶瓶和奶嘴  GB 38995-2020</w:t>
                  </w:r>
                </w:p>
              </w:tc>
              <w:tc>
                <w:tcPr>
                  <w:tcW w:type="dxa" w:w="511"/>
                </w:tcPr>
                <w:p>
                  <w:pPr>
                    <w:pStyle w:val="null3"/>
                  </w:pPr>
                  <w:r>
                    <w:rPr>
                      <w:rFonts w:ascii="仿宋_GB2312" w:hAnsi="仿宋_GB2312" w:cs="仿宋_GB2312" w:eastAsia="仿宋_GB2312"/>
                    </w:rPr>
                    <w:t>10</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密胺塑料餐饮具</w:t>
                  </w:r>
                </w:p>
              </w:tc>
              <w:tc>
                <w:tcPr>
                  <w:tcW w:type="dxa" w:w="511"/>
                </w:tcPr>
                <w:p>
                  <w:pPr>
                    <w:pStyle w:val="null3"/>
                  </w:pPr>
                  <w:r>
                    <w:rPr>
                      <w:rFonts w:ascii="仿宋_GB2312" w:hAnsi="仿宋_GB2312" w:cs="仿宋_GB2312" w:eastAsia="仿宋_GB2312"/>
                    </w:rPr>
                    <w:t>外观、耐干热性、耐低温性、耐湿热性、耐污染性、翘曲(底部)、跌落、标志</w:t>
                  </w:r>
                </w:p>
              </w:tc>
              <w:tc>
                <w:tcPr>
                  <w:tcW w:type="dxa" w:w="511"/>
                </w:tcPr>
                <w:p>
                  <w:pPr>
                    <w:pStyle w:val="null3"/>
                  </w:pPr>
                  <w:r>
                    <w:rPr>
                      <w:rFonts w:ascii="仿宋_GB2312" w:hAnsi="仿宋_GB2312" w:cs="仿宋_GB2312" w:eastAsia="仿宋_GB2312"/>
                    </w:rPr>
                    <w:t>密胺塑料餐饮具  GB/T 41001-2021</w:t>
                  </w:r>
                </w:p>
              </w:tc>
              <w:tc>
                <w:tcPr>
                  <w:tcW w:type="dxa" w:w="511"/>
                </w:tcPr>
                <w:p>
                  <w:pPr>
                    <w:pStyle w:val="null3"/>
                  </w:pPr>
                  <w:r>
                    <w:rPr>
                      <w:rFonts w:ascii="仿宋_GB2312" w:hAnsi="仿宋_GB2312" w:cs="仿宋_GB2312" w:eastAsia="仿宋_GB2312"/>
                    </w:rPr>
                    <w:t>5</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复合膜袋</w:t>
                  </w:r>
                </w:p>
              </w:tc>
              <w:tc>
                <w:tcPr>
                  <w:tcW w:type="dxa" w:w="511"/>
                </w:tcPr>
                <w:p>
                  <w:pPr>
                    <w:pStyle w:val="null3"/>
                  </w:pPr>
                  <w:r>
                    <w:rPr>
                      <w:rFonts w:ascii="仿宋_GB2312" w:hAnsi="仿宋_GB2312" w:cs="仿宋_GB2312" w:eastAsia="仿宋_GB2312"/>
                    </w:rPr>
                    <w:t>外观、卷膜尺寸偏差、卷膜筒芯尺寸及偏差、袋的尺寸偏差、剥离力、热合强度、拉断力、断裂标称应变、直角撕裂力、袋的耐压性能、袋的跌落性能、摩擦系数、耐热性、耐高温介质性、穿刺强度、透光率、甲苯二胺、感官指标、溶剂残留量、标志等</w:t>
                  </w:r>
                </w:p>
              </w:tc>
              <w:tc>
                <w:tcPr>
                  <w:tcW w:type="dxa" w:w="511"/>
                </w:tcPr>
                <w:p>
                  <w:pPr>
                    <w:pStyle w:val="null3"/>
                  </w:pPr>
                  <w:r>
                    <w:rPr>
                      <w:rFonts w:ascii="仿宋_GB2312" w:hAnsi="仿宋_GB2312" w:cs="仿宋_GB2312" w:eastAsia="仿宋_GB2312"/>
                    </w:rPr>
                    <w:t>包装用塑料复合膜、袋干法复合、挤出复合  GB/T 10004-2008</w:t>
                  </w:r>
                </w:p>
              </w:tc>
              <w:tc>
                <w:tcPr>
                  <w:tcW w:type="dxa" w:w="511"/>
                </w:tcPr>
                <w:p>
                  <w:pPr>
                    <w:pStyle w:val="null3"/>
                  </w:pPr>
                  <w:r>
                    <w:rPr>
                      <w:rFonts w:ascii="仿宋_GB2312" w:hAnsi="仿宋_GB2312" w:cs="仿宋_GB2312" w:eastAsia="仿宋_GB2312"/>
                    </w:rPr>
                    <w:t>5</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非复合膜袋</w:t>
                  </w:r>
                </w:p>
              </w:tc>
              <w:tc>
                <w:tcPr>
                  <w:tcW w:type="dxa" w:w="511"/>
                </w:tcPr>
                <w:p>
                  <w:pPr>
                    <w:pStyle w:val="null3"/>
                  </w:pPr>
                  <w:r>
                    <w:rPr>
                      <w:rFonts w:ascii="仿宋_GB2312" w:hAnsi="仿宋_GB2312" w:cs="仿宋_GB2312" w:eastAsia="仿宋_GB2312"/>
                    </w:rPr>
                    <w:t>标识、尺寸偏差、异嗅、外观质量、印刷油墨剥离率、漏水性、跌落性能、提吊试验、塑料和纸塑复合包装袋封合强度、复合包装袋剥离力、纸包装袋封口粘合强度、标志等</w:t>
                  </w:r>
                </w:p>
              </w:tc>
              <w:tc>
                <w:tcPr>
                  <w:tcW w:type="dxa" w:w="511"/>
                </w:tcPr>
                <w:p>
                  <w:pPr>
                    <w:pStyle w:val="null3"/>
                  </w:pPr>
                  <w:r>
                    <w:rPr>
                      <w:rFonts w:ascii="仿宋_GB2312" w:hAnsi="仿宋_GB2312" w:cs="仿宋_GB2312" w:eastAsia="仿宋_GB2312"/>
                    </w:rPr>
                    <w:t>商品零售包装袋  BB/T 0039-2013等</w:t>
                  </w:r>
                </w:p>
              </w:tc>
              <w:tc>
                <w:tcPr>
                  <w:tcW w:type="dxa" w:w="511"/>
                </w:tcPr>
                <w:p>
                  <w:pPr>
                    <w:pStyle w:val="null3"/>
                  </w:pPr>
                  <w:r>
                    <w:rPr>
                      <w:rFonts w:ascii="仿宋_GB2312" w:hAnsi="仿宋_GB2312" w:cs="仿宋_GB2312" w:eastAsia="仿宋_GB2312"/>
                    </w:rPr>
                    <w:t>5</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洗涤剂</w:t>
                  </w:r>
                </w:p>
              </w:tc>
              <w:tc>
                <w:tcPr>
                  <w:tcW w:type="dxa" w:w="511"/>
                </w:tcPr>
                <w:p>
                  <w:pPr>
                    <w:pStyle w:val="null3"/>
                  </w:pPr>
                  <w:r>
                    <w:rPr>
                      <w:rFonts w:ascii="仿宋_GB2312" w:hAnsi="仿宋_GB2312" w:cs="仿宋_GB2312" w:eastAsia="仿宋_GB2312"/>
                    </w:rPr>
                    <w:t>果蔬清洗剂：</w:t>
                  </w:r>
                  <w:r>
                    <w:br/>
                  </w:r>
                  <w:r>
                    <w:rPr>
                      <w:rFonts w:ascii="仿宋_GB2312" w:hAnsi="仿宋_GB2312" w:cs="仿宋_GB2312" w:eastAsia="仿宋_GB2312"/>
                    </w:rPr>
                    <w:t xml:space="preserve"> 外观、气味、稳定性(液体产品)、总活性物含量、pH值、甲醇、甲醛、砷、重金属、荧光增白剂、细菌总数、大肠菌群、净含量</w:t>
                  </w:r>
                  <w:r>
                    <w:br/>
                  </w:r>
                  <w:r>
                    <w:rPr>
                      <w:rFonts w:ascii="仿宋_GB2312" w:hAnsi="仿宋_GB2312" w:cs="仿宋_GB2312" w:eastAsia="仿宋_GB2312"/>
                    </w:rPr>
                    <w:t xml:space="preserve"> 手洗餐具洗涤剂：外观、气味、稳定性(液体产品)、总活性物含量、pH、去污力、荧光增白剂、甲醇、甲醛、砷、重金属、菌落总数、大肠菌群、净含量</w:t>
                  </w:r>
                </w:p>
              </w:tc>
              <w:tc>
                <w:tcPr>
                  <w:tcW w:type="dxa" w:w="511"/>
                </w:tcPr>
                <w:p>
                  <w:pPr>
                    <w:pStyle w:val="null3"/>
                  </w:pPr>
                  <w:r>
                    <w:rPr>
                      <w:rFonts w:ascii="仿宋_GB2312" w:hAnsi="仿宋_GB2312" w:cs="仿宋_GB2312" w:eastAsia="仿宋_GB2312"/>
                    </w:rPr>
                    <w:t>果蔬清洗剂 GB/T 24691-2009</w:t>
                  </w:r>
                  <w:r>
                    <w:br/>
                  </w:r>
                  <w:r>
                    <w:rPr>
                      <w:rFonts w:ascii="仿宋_GB2312" w:hAnsi="仿宋_GB2312" w:cs="仿宋_GB2312" w:eastAsia="仿宋_GB2312"/>
                    </w:rPr>
                    <w:t xml:space="preserve"> 手洗餐具洗涤剂 GB/T 9985-2000</w:t>
                  </w:r>
                </w:p>
              </w:tc>
              <w:tc>
                <w:tcPr>
                  <w:tcW w:type="dxa" w:w="511"/>
                </w:tcPr>
                <w:p>
                  <w:pPr>
                    <w:pStyle w:val="null3"/>
                  </w:pPr>
                  <w:r>
                    <w:rPr>
                      <w:rFonts w:ascii="仿宋_GB2312" w:hAnsi="仿宋_GB2312" w:cs="仿宋_GB2312" w:eastAsia="仿宋_GB2312"/>
                    </w:rPr>
                    <w:t>20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注：服务内容及要求为实质性要求，不得负偏离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高新辖区内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1.检测后，甲方根据乙方提供的检测报告进行验收，确认检测结果真实、有效、合理。 2.验收合格后，乙方应与甲方办理相关的验收交接手续，填写交接验收单，验收各方签字后送合同各方。 3.验收依据：（1）合同文本（2）国内相应的标准、规范（3）竞争性磋商文件、投标文件、响应承诺。</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剩余尾款于工作结束验收合格后支付。最终总支付金额按实际抽检的批次和检验的项目及乙方的单价据实结算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 3.供应商须确保证书CMA须在合同签订及履行期间持续有效，否则采购人有权终止合同并要求赔偿。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检验品种、项目：乙方应严格按照甲方的要求进行抽样和检验。2.合同价：检测单价及总价包括该项目完成检验检测工作所包含的一切费用，包括但不限于人员工资、样品包装费、采样费、检测费、运输费、报告编制费、复检费、管理费、利润、风险、各种税金等一切费用。检测单价及总价一次包死，不受市场价变化的影响。详情见中标人投标文件，乙方在签订合同时须将项目单价作为合同附件，合同附件作为合同的一部分，与合同具有同等法律效力。3.付款方式：由甲方负责以人民币的方式进行结算，乙方开具结算金额总价数的全额发票交甲方。检测费以银行转账方式进行支付。4.成交人在领取成交通知书时提供一正两副纸质竞争性磋商响应文件。装订：纸质竞争性磋商响应文件采用书籍（胶装）方式装订成册，与电子竞争性磋商响应文件一致的签字、盖章的完整版本。5.成交单位应在合同签订后接采购人通知之日起7个工作日内安排人员与使用单位对实施服务进行安排、部署、计划。6.品种、批次严格按照甲方计划执行。7.若未能在按照项目实际工作时间完成规定的义务，由此对采购单位造成的延误和一切损失，由成交单位承担和赔偿。8.如因服务商责任而造成延期，每超过一天按合同总价款的1‰支付甲方误期赔偿金。9.所有检测项目单价按最终报价进行同比例下浮。 结算公式：第二次报价÷第一次报价*实际产生金额（按标书中单项报价与实际产生项目数计算而得）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法定代表人授权委托书.docx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证书</w:t>
            </w:r>
          </w:p>
        </w:tc>
        <w:tc>
          <w:tcPr>
            <w:tcW w:type="dxa" w:w="3322"/>
          </w:tcPr>
          <w:p>
            <w:pPr>
              <w:pStyle w:val="null3"/>
            </w:pPr>
            <w:r>
              <w:rPr>
                <w:rFonts w:ascii="仿宋_GB2312" w:hAnsi="仿宋_GB2312" w:cs="仿宋_GB2312" w:eastAsia="仿宋_GB2312"/>
              </w:rPr>
              <w:t>具有检验检测机构资质认定证书CMA；（证书附表要包含食品接触材料)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此项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服务保障措施.docx 承诺书.docx 报价表 项目实施方案.docx 资格证明文件.docx 分项报价表.docx 服务响应承诺.docx 标的清单 监狱企业的证明文件 检测方案.docx 业绩.docx 保密措施.docx 中小企业声明函 商务条款响应偏离表.docx 服务条款响应偏离表.docx 响应文件封面 人员配置.docx 残疾人福利性单位声明函 仪器设备.docx 拒绝政府采购领域商业贿赂承诺书.docx 供应商参与政府采购活动的承诺函.docx 安全保障措施.docx 实验室场地.docx 供应商认为有必要说明的事宜.docx 响应函 法定代表人授权委托书.docx 项目理解及现状分析.docx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服务保障措施.docx 承诺书.docx 报价表 项目实施方案.docx 资格证明文件.docx 分项报价表.docx 服务响应承诺.docx 标的清单 监狱企业的证明文件 检测方案.docx 业绩.docx 保密措施.docx 中小企业声明函 商务条款响应偏离表.docx 服务条款响应偏离表.docx 响应文件封面 人员配置.docx 残疾人福利性单位声明函 仪器设备.docx 拒绝政府采购领域商业贿赂承诺书.docx 供应商参与政府采购活动的承诺函.docx 安全保障措施.docx 实验室场地.docx 供应商认为有必要说明的事宜.docx 响应函 法定代表人授权委托书.docx 项目理解及现状分析.docx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服务保障措施.docx 承诺书.docx 报价表 项目实施方案.docx 资格证明文件.docx 分项报价表.docx 服务响应承诺.docx 标的清单 监狱企业的证明文件 检测方案.docx 业绩.docx 保密措施.docx 中小企业声明函 商务条款响应偏离表.docx 服务条款响应偏离表.docx 响应文件封面 人员配置.docx 残疾人福利性单位声明函 仪器设备.docx 拒绝政府采购领域商业贿赂承诺书.docx 供应商参与政府采购活动的承诺函.docx 安全保障措施.docx 实验室场地.docx 供应商认为有必要说明的事宜.docx 响应函 法定代表人授权委托书.docx 项目理解及现状分析.docx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服务保障措施.docx 承诺书.docx 报价表 项目实施方案.docx 资格证明文件.docx 分项报价表.docx 服务响应承诺.docx 标的清单 监狱企业的证明文件 检测方案.docx 业绩.docx 保密措施.docx 中小企业声明函 商务条款响应偏离表.docx 服务条款响应偏离表.docx 响应文件封面 人员配置.docx 残疾人福利性单位声明函 仪器设备.docx 拒绝政府采购领域商业贿赂承诺书.docx 供应商参与政府采购活动的承诺函.docx 安全保障措施.docx 实验室场地.docx 供应商认为有必要说明的事宜.docx 响应函 法定代表人授权委托书.docx 项目理解及现状分析.docx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服务保障措施.docx 承诺书.docx 报价表 项目实施方案.docx 资格证明文件.docx 分项报价表.docx 服务响应承诺.docx 标的清单 监狱企业的证明文件 检测方案.docx 业绩.docx 保密措施.docx 中小企业声明函 商务条款响应偏离表.docx 服务条款响应偏离表.docx 响应文件封面 人员配置.docx 残疾人福利性单位声明函 仪器设备.docx 拒绝政府采购领域商业贿赂承诺书.docx 供应商参与政府采购活动的承诺函.docx 安全保障措施.docx 实验室场地.docx 供应商认为有必要说明的事宜.docx 响应函 法定代表人授权委托书.docx 项目理解及现状分析.docx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对磋商文件服务内容及服务要求是否作出明确响应，对不得偏离的要求是否作了实质性响应</w:t>
            </w:r>
          </w:p>
        </w:tc>
        <w:tc>
          <w:tcPr>
            <w:tcW w:type="dxa" w:w="1661"/>
          </w:tcPr>
          <w:p>
            <w:pPr>
              <w:pStyle w:val="null3"/>
            </w:pPr>
            <w:r>
              <w:rPr>
                <w:rFonts w:ascii="仿宋_GB2312" w:hAnsi="仿宋_GB2312" w:cs="仿宋_GB2312" w:eastAsia="仿宋_GB2312"/>
              </w:rPr>
              <w:t>服务保障措施.docx 承诺书.docx 报价表 项目实施方案.docx 资格证明文件.docx 分项报价表.docx 服务响应承诺.docx 标的清单 监狱企业的证明文件 检测方案.docx 业绩.docx 保密措施.docx 中小企业声明函 商务条款响应偏离表.docx 服务条款响应偏离表.docx 响应文件封面 人员配置.docx 残疾人福利性单位声明函 仪器设备.docx 拒绝政府采购领域商业贿赂承诺书.docx 供应商参与政府采购活动的承诺函.docx 安全保障措施.docx 实验室场地.docx 供应商认为有必要说明的事宜.docx 响应函 法定代表人授权委托书.docx 项目理解及现状分析.docx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磋商响应文件未含有采购人不能接受的附加条件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服务保障措施.docx 承诺书.docx 报价表 项目实施方案.docx 资格证明文件.docx 分项报价表.docx 服务响应承诺.docx 标的清单 监狱企业的证明文件 检测方案.docx 业绩.docx 保密措施.docx 中小企业声明函 商务条款响应偏离表.docx 服务条款响应偏离表.docx 响应文件封面 人员配置.docx 残疾人福利性单位声明函 仪器设备.docx 拒绝政府采购领域商业贿赂承诺书.docx 供应商参与政府采购活动的承诺函.docx 安全保障措施.docx 实验室场地.docx 供应商认为有必要说明的事宜.docx 响应函 法定代表人授权委托书.docx 项目理解及现状分析.docx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未含有法律、法规和磋商文件规定的其他无效响应情形</w:t>
            </w:r>
          </w:p>
        </w:tc>
        <w:tc>
          <w:tcPr>
            <w:tcW w:type="dxa" w:w="3322"/>
          </w:tcPr>
          <w:p>
            <w:pPr>
              <w:pStyle w:val="null3"/>
            </w:pPr>
            <w:r>
              <w:rPr>
                <w:rFonts w:ascii="仿宋_GB2312" w:hAnsi="仿宋_GB2312" w:cs="仿宋_GB2312" w:eastAsia="仿宋_GB2312"/>
              </w:rPr>
              <w:t>未含有法律、法规和磋商文件规定的其他无效响应情形</w:t>
            </w:r>
          </w:p>
        </w:tc>
        <w:tc>
          <w:tcPr>
            <w:tcW w:type="dxa" w:w="1661"/>
          </w:tcPr>
          <w:p>
            <w:pPr>
              <w:pStyle w:val="null3"/>
            </w:pPr>
            <w:r>
              <w:rPr>
                <w:rFonts w:ascii="仿宋_GB2312" w:hAnsi="仿宋_GB2312" w:cs="仿宋_GB2312" w:eastAsia="仿宋_GB2312"/>
              </w:rPr>
              <w:t>服务保障措施.docx 承诺书.docx 报价表 项目实施方案.docx 资格证明文件.docx 分项报价表.docx 服务响应承诺.docx 标的清单 监狱企业的证明文件 检测方案.docx 业绩.docx 保密措施.docx 中小企业声明函 商务条款响应偏离表.docx 服务条款响应偏离表.docx 响应文件封面 人员配置.docx 残疾人福利性单位声明函 仪器设备.docx 拒绝政府采购领域商业贿赂承诺书.docx 供应商参与政府采购活动的承诺函.docx 安全保障措施.docx 实验室场地.docx 供应商认为有必要说明的事宜.docx 响应函 法定代表人授权委托书.docx 项目理解及现状分析.docx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项目理解及现状分析</w:t>
            </w:r>
          </w:p>
        </w:tc>
        <w:tc>
          <w:tcPr>
            <w:tcW w:type="dxa" w:w="2492"/>
          </w:tcPr>
          <w:p>
            <w:pPr>
              <w:pStyle w:val="null3"/>
            </w:pPr>
            <w:r>
              <w:rPr>
                <w:rFonts w:ascii="仿宋_GB2312" w:hAnsi="仿宋_GB2312" w:cs="仿宋_GB2312" w:eastAsia="仿宋_GB2312"/>
              </w:rPr>
              <w:t>评审内容：供应商提供针对整体目标的项目理解及现状分析，内容包含： ①对项目的理解②现状情况分析。（评审内容每项3分） 评审标准： 1.总体目标清晰，掌握市场生产、销售主体分布情况，工作流程明确合理，完全符合国家及省市相关规定的得6分； 2.评审内容任意一项缺项扣3分，扣完为止； 3.评审内容任意一项存在任意一处缺陷扣0.5分,3分扣完为止; 4.未提供方案或只有标题没有实质性内容的不得分。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项目理解及现状分析.docx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评审内容：供应商针对本项目制定详细的项目实施方案，包括:①工作流程 ②工作方法 ③ 实验室管理制度④ 进度计划安排⑤ 人员组织管理 ⑥应对突发状况的预防处理措施。（评审内容每项3分） 评审标准： 1、方案全面，对评审内容中的各项要求有详细阐述；切合本项目实际情况，提出步骤清晰、合理的方案；方案能够紧扣项目实际情况，内容科学合理的计18分; 2.评审内容任意一项缺项扣3分，扣完为止； 3.评审内容任意一项存在任意一处缺陷扣0.5分,3分扣完为止； 4.未提供方案或只有标题没有实质性内容的不得分。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评审内容：供应商提供针对本项目的检测方案。 评审标准细化内容： ①检测规章制度②检验范围③检测内容④检测依据及措施⑤检测工作的重难点分析⑥样品采集⑦样品运输⑧样品管理⑨抽检分离等方面划安排。（评审内容每项2分） 评审标准： 1.检测方案分析详细全面，符合项目采购要求； 方案切合本项目实际情况，方案全面、实施步骤清晰、合理；能够紧扣项目实际情况，内容科学合理的计18分。 2.评审内容任意一项缺项扣2分，扣完为止； 3.评审内容任意一项存在任意一处缺陷扣0.5分,2分扣完为止； 4.未提供方案或只有标题没有实质性内容的不得分。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根据供应商提供的拟派项目实施服务人员情况进行评审： 1、项目负责人具有相关专业的高级职称得3分； 2、实验室专业检测分析人员每提供1人得1分；外业数据采集人员每提供1人 得1分，本项最高得5分； 注：以上人员需提供相应的证书证明材料，未提供不得分。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实验室场地</w:t>
            </w:r>
          </w:p>
        </w:tc>
        <w:tc>
          <w:tcPr>
            <w:tcW w:type="dxa" w:w="2492"/>
          </w:tcPr>
          <w:p>
            <w:pPr>
              <w:pStyle w:val="null3"/>
            </w:pPr>
            <w:r>
              <w:rPr>
                <w:rFonts w:ascii="仿宋_GB2312" w:hAnsi="仿宋_GB2312" w:cs="仿宋_GB2312" w:eastAsia="仿宋_GB2312"/>
              </w:rPr>
              <w:t>供应商具有满足检测工作需要的、独立的、固定的实验室场地，提供相应的证明材料， 包括房产证或房屋租赁合同，实验室情况及图片说明，证明材料齐全得5分，证明资料不全或未提供的不得分。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实验室场地.docx</w:t>
            </w:r>
          </w:p>
        </w:tc>
      </w:tr>
      <w:tr>
        <w:tc>
          <w:tcPr>
            <w:tcW w:type="dxa" w:w="831"/>
            <w:vMerge/>
          </w:tcPr>
          <w:p/>
        </w:tc>
        <w:tc>
          <w:tcPr>
            <w:tcW w:type="dxa" w:w="1661"/>
          </w:tcPr>
          <w:p>
            <w:pPr>
              <w:pStyle w:val="null3"/>
            </w:pPr>
            <w:r>
              <w:rPr>
                <w:rFonts w:ascii="仿宋_GB2312" w:hAnsi="仿宋_GB2312" w:cs="仿宋_GB2312" w:eastAsia="仿宋_GB2312"/>
              </w:rPr>
              <w:t>仪器设备</w:t>
            </w:r>
          </w:p>
        </w:tc>
        <w:tc>
          <w:tcPr>
            <w:tcW w:type="dxa" w:w="2492"/>
          </w:tcPr>
          <w:p>
            <w:pPr>
              <w:pStyle w:val="null3"/>
            </w:pPr>
            <w:r>
              <w:rPr>
                <w:rFonts w:ascii="仿宋_GB2312" w:hAnsi="仿宋_GB2312" w:cs="仿宋_GB2312" w:eastAsia="仿宋_GB2312"/>
              </w:rPr>
              <w:t>评审内容：供应商具有符合检测要求的仪器设备，提供仪器设备一览表。 从①检测设备数量 ②先进程度 ③检测能力进行评审：（评审内容每项2分） 评审标准： 1、能够满足检测需求、设备数量充足、能够满足大批量样品的检测周期需要；能够紧扣项目实际情况，对所提供设备、检测能力有具体描述的计6分； 2.评审内容任意一项缺项扣2分，扣完为止； 3.评审内容任意一项存在任意一处缺陷扣0.5分,2分扣完为止； 4.未提供证明资料或只有标题没有实质性内容的不得分。 缺陷是指：资料不全、内容粗略、逻辑混乱、描述过于简单、与项目特点不匹配、凭空编造、逻辑漏洞、出现常识性错误、套用其他项目方案、存在不可能实现的夸大情形或存在不适用项目实际情况的情形。 注：提供仪器设备一览表，并提供仪器设备的发票、设备图片及校准证书等证明材料复印件。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仪器设备.docx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评审内容：①检验实力 ②实施保障能力 ③项目实施中的认罚 ④服务质量承诺。（评审内容每项2分） 评审标准： 1.措施内容全面，对评审内容中的各项要求有详细阐述；切合本项目实际情况，提出步骤清晰、合理；能够紧扣项目实际情况，内容科学合理的计8分。 2.评审内容任意一项缺项扣2分，扣完为止； 3.评审内容任意一项存在任意一处缺陷扣0.5分,2分扣完为止； 4.未提供方案或只有标题没有实质性内容的不得分。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服务保障措施.docx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评审内容：①制定服务过程中样品安全保证措施 ②制定服务过程中人身安全保证措施。（评审内容每项3分） 评审标准： 1.措施内容全面，对评审内容中的各项要求有详细阐述；切合本项目实际情况，提出步骤清晰、合理；能够紧扣项目实际情况，内容科学合理的计6分。 2.评审内容任意一项缺项扣3分，扣完为止； 3.评审内容任意一项存在任意一处缺陷扣0.5分,3分扣完为止； 4.未提供方案或只有标题没有实质性内容的不得分。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安全保障措施.docx</w:t>
            </w:r>
          </w:p>
        </w:tc>
      </w:tr>
      <w:tr>
        <w:tc>
          <w:tcPr>
            <w:tcW w:type="dxa" w:w="831"/>
            <w:vMerge/>
          </w:tcPr>
          <w:p/>
        </w:tc>
        <w:tc>
          <w:tcPr>
            <w:tcW w:type="dxa" w:w="1661"/>
          </w:tcPr>
          <w:p>
            <w:pPr>
              <w:pStyle w:val="null3"/>
            </w:pPr>
            <w:r>
              <w:rPr>
                <w:rFonts w:ascii="仿宋_GB2312" w:hAnsi="仿宋_GB2312" w:cs="仿宋_GB2312" w:eastAsia="仿宋_GB2312"/>
              </w:rPr>
              <w:t>服务响应承诺</w:t>
            </w:r>
          </w:p>
        </w:tc>
        <w:tc>
          <w:tcPr>
            <w:tcW w:type="dxa" w:w="2492"/>
          </w:tcPr>
          <w:p>
            <w:pPr>
              <w:pStyle w:val="null3"/>
            </w:pPr>
            <w:r>
              <w:rPr>
                <w:rFonts w:ascii="仿宋_GB2312" w:hAnsi="仿宋_GB2312" w:cs="仿宋_GB2312" w:eastAsia="仿宋_GB2312"/>
              </w:rPr>
              <w:t>为便于应急抽检、现场核查、异议复核等，确保抽检采集样品满足特定储运温湿度和时限等要求，不致因储存、运输等因素影响检验结果等，供应商须进行服务响应承诺： 承诺自接到采购人通知后1小时内到达现场采样的，得3分； 承诺自接到采购人通知后2小时内到达现场采样的，得2分； 承诺自接到采购人通知后3小时内到达现场采样的，得1分； 未提供服务响应承诺不得分。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服务响应承诺.docx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评审内容：保证项目相关信息不被泄漏，从①服务人员保密措施 ②公司保密制度进行评审。（评审内容每项3分） 评审标准： 1.以上内容切合本项目实际情况及实施要求，内容与要点相符、每个要点均有展开详细的阐述且能够适用于本项目的计6分。 2.评审内容任意一项缺项扣3分，扣完为止； 3.评审内容任意一项存在任意一处缺陷扣0.5分,3分扣完为止； 4.未提供方案或只有标题没有实质性内容的不得分。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01月01日至今同类（抽检类）项目业绩（要求不同的甲方），响应文件中附有其业绩证明材料，业绩以合同为依据，每提供一个计1分，满分6分。（注：1、响应文件中提供复印件加盖供应商公章；2、业绩以合同签订时间为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详见附件：项目理解及现状分析.docx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详见附件：检测方案.docx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详见附件：实验室场地.docx</w:t>
      </w:r>
    </w:p>
    <w:p>
      <w:pPr>
        <w:pStyle w:val="null3"/>
        <w:ind w:firstLine="960"/>
      </w:pPr>
      <w:r>
        <w:rPr>
          <w:rFonts w:ascii="仿宋_GB2312" w:hAnsi="仿宋_GB2312" w:cs="仿宋_GB2312" w:eastAsia="仿宋_GB2312"/>
        </w:rPr>
        <w:t>详见附件：仪器设备.docx</w:t>
      </w:r>
    </w:p>
    <w:p>
      <w:pPr>
        <w:pStyle w:val="null3"/>
        <w:ind w:firstLine="960"/>
      </w:pPr>
      <w:r>
        <w:rPr>
          <w:rFonts w:ascii="仿宋_GB2312" w:hAnsi="仿宋_GB2312" w:cs="仿宋_GB2312" w:eastAsia="仿宋_GB2312"/>
        </w:rPr>
        <w:t>详见附件：服务保障措施.docx</w:t>
      </w:r>
    </w:p>
    <w:p>
      <w:pPr>
        <w:pStyle w:val="null3"/>
        <w:ind w:firstLine="960"/>
      </w:pPr>
      <w:r>
        <w:rPr>
          <w:rFonts w:ascii="仿宋_GB2312" w:hAnsi="仿宋_GB2312" w:cs="仿宋_GB2312" w:eastAsia="仿宋_GB2312"/>
        </w:rPr>
        <w:t>详见附件：安全保障措施.docx</w:t>
      </w:r>
    </w:p>
    <w:p>
      <w:pPr>
        <w:pStyle w:val="null3"/>
        <w:ind w:firstLine="960"/>
      </w:pPr>
      <w:r>
        <w:rPr>
          <w:rFonts w:ascii="仿宋_GB2312" w:hAnsi="仿宋_GB2312" w:cs="仿宋_GB2312" w:eastAsia="仿宋_GB2312"/>
        </w:rPr>
        <w:t>详见附件：服务响应承诺.docx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详见附件：供应商认为有必要说明的事宜.docx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