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版本号：THHDZB-2504120250925001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2025硬科技创新大会高新区系列活动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THHDZB-25041</w:t>
      </w:r>
      <w:r>
        <w:br/>
      </w:r>
      <w:r>
        <w:br/>
      </w:r>
      <w:r>
        <w:br/>
      </w:r>
    </w:p>
    <w:p>
      <w:pPr>
        <w:pStyle w:val="null3"/>
        <w:jc w:val="center"/>
        <w:outlineLvl w:val="2"/>
      </w:pPr>
      <w:r>
        <w:rPr>
          <w:rFonts w:ascii="仿宋_GB2312" w:hAnsi="仿宋_GB2312" w:cs="仿宋_GB2312" w:eastAsia="仿宋_GB2312"/>
          <w:sz w:val="28"/>
          <w:b/>
        </w:rPr>
        <w:t>西安高新技术产业开发区科技创新局</w:t>
      </w:r>
    </w:p>
    <w:p>
      <w:pPr>
        <w:pStyle w:val="null3"/>
        <w:jc w:val="center"/>
        <w:outlineLvl w:val="2"/>
      </w:pPr>
      <w:r>
        <w:rPr>
          <w:rFonts w:ascii="仿宋_GB2312" w:hAnsi="仿宋_GB2312" w:cs="仿宋_GB2312" w:eastAsia="仿宋_GB2312"/>
          <w:sz w:val="28"/>
          <w:b/>
        </w:rPr>
        <w:t>陕西泰和弘德招标有限公司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陕西泰和弘德招标有限公司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西安高新技术产业开发区科技创新局</w:t>
      </w:r>
      <w:r>
        <w:rPr>
          <w:rFonts w:ascii="仿宋_GB2312" w:hAnsi="仿宋_GB2312" w:cs="仿宋_GB2312" w:eastAsia="仿宋_GB2312"/>
        </w:rPr>
        <w:t>委托，拟对</w:t>
      </w:r>
      <w:r>
        <w:rPr>
          <w:rFonts w:ascii="仿宋_GB2312" w:hAnsi="仿宋_GB2312" w:cs="仿宋_GB2312" w:eastAsia="仿宋_GB2312"/>
        </w:rPr>
        <w:t>2025硬科技创新大会高新区系列活动</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THHDZB-25041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2025硬科技创新大会高新区系列活动</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硬科技创新大会作为集聚硬科技资源、展示硬科技发展成果、凝聚硬科技全球共识、促进硬科技交流合作的重要平台，已成为西安市、高新区深入贯彻落实总书记关于硬科技发展的指示精神，践行高水平科技自立自强国家战略，打造新动能强劲的国家创新名城的生动实践。根据相关工作部署，拟于11月初举办2025硬科技创新大会高新区系列活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采购包1（2025硬科技创新大会高新区系列活动）：属于专门面向中小企业采购。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2、授权委托书：法定代表人授权委托书、被授权人身份证（法定代表人参加投标时,只需提供法定代表人身份证；被授权人参加投标时，需提供投标前三个月内任意一个月供应商为其缴纳的社保证明材料）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西安高新技术产业开发区科技创新局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西安市丝路创智谷5#509</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18192651916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陕西泰和弘德招标有限公司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陕西省西安市高新区锦业路71号中航富士达产业园1号楼4层405室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唐鲡芸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18681983579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采购包1：2,215,300.00元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颁布《招标代理服务收费管理暂行办法》（计价格[2002]1980号）和国家发展和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西安高新技术产业开发区科技创新局</w:t>
      </w:r>
      <w:r>
        <w:rPr>
          <w:rFonts w:ascii="仿宋_GB2312" w:hAnsi="仿宋_GB2312" w:cs="仿宋_GB2312" w:eastAsia="仿宋_GB2312"/>
        </w:rPr>
        <w:t>和</w:t>
      </w:r>
      <w:r>
        <w:rPr>
          <w:rFonts w:ascii="仿宋_GB2312" w:hAnsi="仿宋_GB2312" w:cs="仿宋_GB2312" w:eastAsia="仿宋_GB2312"/>
        </w:rPr>
        <w:t>陕西泰和弘德招标有限公司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西安高新技术产业开发区科技创新局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陕西泰和弘德招标有限公司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西安高新技术产业开发区科技创新局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陕西泰和弘德招标有限公司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联系人：唐鲡芸</w:t>
      </w:r>
    </w:p>
    <w:p>
      <w:pPr>
        <w:pStyle w:val="null3"/>
      </w:pPr>
      <w:r>
        <w:rPr>
          <w:rFonts w:ascii="仿宋_GB2312" w:hAnsi="仿宋_GB2312" w:cs="仿宋_GB2312" w:eastAsia="仿宋_GB2312"/>
        </w:rPr>
        <w:t>联系电话：18681983579</w:t>
      </w:r>
    </w:p>
    <w:p>
      <w:pPr>
        <w:pStyle w:val="null3"/>
      </w:pPr>
      <w:r>
        <w:rPr>
          <w:rFonts w:ascii="仿宋_GB2312" w:hAnsi="仿宋_GB2312" w:cs="仿宋_GB2312" w:eastAsia="仿宋_GB2312"/>
        </w:rPr>
        <w:t>地址：西安市高新区锦业路71号中航富士达产业园1号楼4层405室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硬科技创新大会作为集聚硬科技资源、展示硬科技发展成果、凝聚硬科技全球共识、促进硬科技交流合作的重要平台，已成为西安市、高新区深入贯彻落实总书记关于硬科技发展的指示精神，践行高水平科技自立自强国家战略，打造新动能强劲的国家创新名城的生动实践。根据相关工作部署，拟于11月初举办2025硬科技创新大会高新区系列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2,215,300.00</w:t>
      </w:r>
    </w:p>
    <w:p>
      <w:pPr>
        <w:pStyle w:val="null3"/>
      </w:pPr>
      <w:r>
        <w:rPr>
          <w:rFonts w:ascii="仿宋_GB2312" w:hAnsi="仿宋_GB2312" w:cs="仿宋_GB2312" w:eastAsia="仿宋_GB2312"/>
        </w:rPr>
        <w:t>采购包最高限价（元）: 2,215,300.00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2025硬科技创新大会高新区系列活动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2,215,300.00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标的名称：2025硬科技创新大会高新区系列活动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b/>
              </w:rPr>
              <w:t>一、基本要求</w:t>
            </w:r>
          </w:p>
          <w:p>
            <w:pPr>
              <w:pStyle w:val="null3"/>
              <w:ind w:firstLine="640"/>
              <w:jc w:val="both"/>
            </w:pPr>
            <w:r>
              <w:rPr>
                <w:rFonts w:ascii="仿宋_GB2312" w:hAnsi="仿宋_GB2312" w:cs="仿宋_GB2312" w:eastAsia="仿宋_GB2312"/>
              </w:rPr>
              <w:t>1.项目背景</w:t>
            </w:r>
          </w:p>
          <w:p>
            <w:pPr>
              <w:pStyle w:val="null3"/>
              <w:ind w:firstLine="640"/>
              <w:jc w:val="both"/>
            </w:pPr>
            <w:r>
              <w:rPr>
                <w:rFonts w:ascii="仿宋_GB2312" w:hAnsi="仿宋_GB2312" w:cs="仿宋_GB2312" w:eastAsia="仿宋_GB2312"/>
              </w:rPr>
              <w:t>硬科技创新大会作为集聚硬科技资源、展示硬科技发展成果、凝聚硬科技全球共识、促进硬科技交流合作的重要平台，已成为西安市、高新区深入贯彻落实总书记关于硬科技发展的指示精神，践行高水平科技自立自强国家战略，打造新动能强劲的国家创新名城的生动实践。根据相关工作部署，拟于11月初举办2025硬科技创新大会高新区系列活动。</w:t>
            </w:r>
          </w:p>
          <w:p>
            <w:pPr>
              <w:pStyle w:val="null3"/>
              <w:ind w:firstLine="640"/>
              <w:jc w:val="both"/>
            </w:pPr>
            <w:r>
              <w:rPr>
                <w:rFonts w:ascii="仿宋_GB2312" w:hAnsi="仿宋_GB2312" w:cs="仿宋_GB2312" w:eastAsia="仿宋_GB2312"/>
              </w:rPr>
              <w:t>2.服务期限</w:t>
            </w:r>
          </w:p>
          <w:p>
            <w:pPr>
              <w:pStyle w:val="null3"/>
              <w:ind w:firstLine="640"/>
              <w:jc w:val="both"/>
            </w:pPr>
            <w:r>
              <w:rPr>
                <w:rFonts w:ascii="仿宋_GB2312" w:hAnsi="仿宋_GB2312" w:cs="仿宋_GB2312" w:eastAsia="仿宋_GB2312"/>
              </w:rPr>
              <w:t>服务期：自合同签订之日起至本项目结束（具体时间以甲方通知为准）</w:t>
            </w:r>
          </w:p>
          <w:p>
            <w:pPr>
              <w:pStyle w:val="null3"/>
              <w:ind w:firstLine="640"/>
              <w:jc w:val="both"/>
            </w:pPr>
            <w:r>
              <w:rPr>
                <w:rFonts w:ascii="仿宋_GB2312" w:hAnsi="仿宋_GB2312" w:cs="仿宋_GB2312" w:eastAsia="仿宋_GB2312"/>
              </w:rPr>
              <w:t>3.服务地点</w:t>
            </w:r>
          </w:p>
          <w:p>
            <w:pPr>
              <w:pStyle w:val="null3"/>
              <w:ind w:firstLine="640"/>
              <w:jc w:val="both"/>
            </w:pPr>
            <w:r>
              <w:rPr>
                <w:rFonts w:ascii="仿宋_GB2312" w:hAnsi="仿宋_GB2312" w:cs="仿宋_GB2312" w:eastAsia="仿宋_GB2312"/>
              </w:rPr>
              <w:t>采购人指定地点或服务商推荐并经采购人确认的地点。</w:t>
            </w:r>
          </w:p>
          <w:p>
            <w:pPr>
              <w:pStyle w:val="null3"/>
              <w:ind w:firstLine="640"/>
              <w:jc w:val="both"/>
            </w:pPr>
            <w:r>
              <w:rPr>
                <w:rFonts w:ascii="仿宋_GB2312" w:hAnsi="仿宋_GB2312" w:cs="仿宋_GB2312" w:eastAsia="仿宋_GB2312"/>
                <w:b/>
              </w:rPr>
              <w:t>二、项目内容</w:t>
            </w:r>
          </w:p>
          <w:p>
            <w:pPr>
              <w:pStyle w:val="null3"/>
              <w:ind w:firstLine="640"/>
              <w:jc w:val="both"/>
            </w:pPr>
            <w:r>
              <w:rPr>
                <w:rFonts w:ascii="仿宋_GB2312" w:hAnsi="仿宋_GB2312" w:cs="仿宋_GB2312" w:eastAsia="仿宋_GB2312"/>
              </w:rPr>
              <w:t>1.大会活动整体要求</w:t>
            </w:r>
          </w:p>
          <w:p>
            <w:pPr>
              <w:pStyle w:val="null3"/>
              <w:ind w:firstLine="640"/>
              <w:jc w:val="both"/>
            </w:pPr>
            <w:r>
              <w:rPr>
                <w:rFonts w:ascii="仿宋_GB2312" w:hAnsi="仿宋_GB2312" w:cs="仿宋_GB2312" w:eastAsia="仿宋_GB2312"/>
              </w:rPr>
              <w:t>1.1供应商须负责2025硬科技创新大会高新区系列活动的组织实施，主要包括2025硬科技创新大会国家硬科技示范区建设论坛等相关活动不少于3场的全程组织实施，确保活动流程完整、衔接顺畅。相关活动包含不限于：围绕前沿科技、产业创新、科技成果转化等主题的学术论坛、研讨会等活动；创新创业大赛、技术技能大赛、科研项目竞赛等活动；科技成果展示、博览会、产学研对接会、科技合作洽谈会等活动。</w:t>
            </w:r>
          </w:p>
          <w:p>
            <w:pPr>
              <w:pStyle w:val="null3"/>
              <w:ind w:firstLine="640"/>
              <w:jc w:val="both"/>
            </w:pPr>
            <w:r>
              <w:rPr>
                <w:rFonts w:ascii="仿宋_GB2312" w:hAnsi="仿宋_GB2312" w:cs="仿宋_GB2312" w:eastAsia="仿宋_GB2312"/>
              </w:rPr>
              <w:t>1.2供应商须按要求完成活动相关活动筹备、成果促成、报告重要资料组织编制和印刷等工作，保障大会各项内容落地。</w:t>
            </w:r>
          </w:p>
          <w:p>
            <w:pPr>
              <w:pStyle w:val="null3"/>
              <w:ind w:firstLine="640"/>
              <w:jc w:val="both"/>
            </w:pPr>
            <w:r>
              <w:rPr>
                <w:rFonts w:ascii="仿宋_GB2312" w:hAnsi="仿宋_GB2312" w:cs="仿宋_GB2312" w:eastAsia="仿宋_GB2312"/>
              </w:rPr>
              <w:t>1.3 整个系列活动邀请硬科技相关企业代表不少于300家，其中专家学者及相关行业（硬科技相关领域）重要嘉宾不少于 15位（其中具有相关领域副高级职称不少于10人），需列明拟邀请嘉宾名单并负责落实，不得减少嘉宾数量或降低邀请标准，提供详细的嘉宾接待方案。</w:t>
            </w:r>
          </w:p>
          <w:p>
            <w:pPr>
              <w:pStyle w:val="null3"/>
              <w:ind w:firstLine="640"/>
              <w:jc w:val="both"/>
            </w:pPr>
            <w:r>
              <w:rPr>
                <w:rFonts w:ascii="仿宋_GB2312" w:hAnsi="仿宋_GB2312" w:cs="仿宋_GB2312" w:eastAsia="仿宋_GB2312"/>
              </w:rPr>
              <w:t>1.4大会活动场地要求：主会场（国家硬科技示范区建设论坛）至少须容纳500人参与，场地面积不小于1000平方米；分会场（其他相关活动）不少于150人参与，场地面积不少于300平方米。</w:t>
            </w:r>
          </w:p>
          <w:p>
            <w:pPr>
              <w:pStyle w:val="null3"/>
              <w:ind w:firstLine="640"/>
              <w:jc w:val="both"/>
            </w:pPr>
            <w:r>
              <w:rPr>
                <w:rFonts w:ascii="仿宋_GB2312" w:hAnsi="仿宋_GB2312" w:cs="仿宋_GB2312" w:eastAsia="仿宋_GB2312"/>
              </w:rPr>
              <w:t>1.5大会线上宣传要求：做好系列宣传策划、内容编辑、推广工作，要求主流媒体或公众号，全方位、多角度、多层次、立体式对活动进行宣传报道。推动西安走向国际化、营造良好口碑。提升城市美誉度，吸引资本力量。包括但不限于定制专题、高端访谈、图文直播、原创稿件、预热稿件、预热海报等产品。</w:t>
            </w:r>
          </w:p>
          <w:p>
            <w:pPr>
              <w:pStyle w:val="null3"/>
              <w:spacing w:after="120"/>
              <w:ind w:firstLine="640"/>
              <w:jc w:val="both"/>
            </w:pPr>
            <w:r>
              <w:rPr>
                <w:rFonts w:ascii="仿宋_GB2312" w:hAnsi="仿宋_GB2312" w:cs="仿宋_GB2312" w:eastAsia="仿宋_GB2312"/>
              </w:rPr>
              <w:t>1.5本次活动整体活动服务人员不少于75人；核心团队人数不少于20 人，至少包含项目负责人1人（需提供投标截止时前三个月任意一个月供应商为其缴纳的社保证明材料）、策划人员2人、创意设计人员4人、现场执行人员8人及应急管理人员5人；辅助服务人员涵盖设备操控、主持人、摄影摄像、礼仪、速记、安保等岗位，且配备相应道具（辅助服务人员数量根据参与活动人员实际数量最终确认）。</w:t>
            </w:r>
          </w:p>
          <w:p>
            <w:pPr>
              <w:pStyle w:val="null3"/>
              <w:jc w:val="both"/>
            </w:pPr>
            <w:r>
              <w:rPr>
                <w:rFonts w:ascii="仿宋_GB2312" w:hAnsi="仿宋_GB2312" w:cs="仿宋_GB2312" w:eastAsia="仿宋_GB2312"/>
              </w:rPr>
              <w:t>服务团队需进行必要的礼仪培训。</w:t>
            </w:r>
          </w:p>
          <w:p>
            <w:pPr>
              <w:pStyle w:val="null3"/>
              <w:ind w:firstLine="640"/>
              <w:jc w:val="both"/>
            </w:pPr>
            <w:r>
              <w:rPr>
                <w:rFonts w:ascii="仿宋_GB2312" w:hAnsi="仿宋_GB2312" w:cs="仿宋_GB2312" w:eastAsia="仿宋_GB2312"/>
              </w:rPr>
              <w:t>1.6活动期间关于会场租赁、接待嘉宾用车、人员住宿、餐饮的规格标准参照中共陕西省委办公厅、陕西省人民政府办公厅关于印发《陕西省党政机关国内公务接待管理办法》的通知。</w:t>
            </w:r>
          </w:p>
          <w:p>
            <w:pPr>
              <w:pStyle w:val="null3"/>
              <w:ind w:firstLine="640"/>
              <w:jc w:val="both"/>
            </w:pPr>
            <w:r>
              <w:rPr>
                <w:rFonts w:ascii="仿宋_GB2312" w:hAnsi="仿宋_GB2312" w:cs="仿宋_GB2312" w:eastAsia="仿宋_GB2312"/>
                <w:color w:val="000000"/>
              </w:rPr>
              <w:t>2.</w:t>
            </w:r>
            <w:r>
              <w:rPr>
                <w:rFonts w:ascii="仿宋_GB2312" w:hAnsi="仿宋_GB2312" w:cs="仿宋_GB2312" w:eastAsia="仿宋_GB2312"/>
                <w:color w:val="000000"/>
              </w:rPr>
              <w:t>相关活动设计搭建</w:t>
            </w:r>
          </w:p>
          <w:p>
            <w:pPr>
              <w:pStyle w:val="null3"/>
              <w:ind w:firstLine="640"/>
              <w:jc w:val="both"/>
            </w:pPr>
            <w:r>
              <w:rPr>
                <w:rFonts w:ascii="仿宋_GB2312" w:hAnsi="仿宋_GB2312" w:cs="仿宋_GB2312" w:eastAsia="仿宋_GB2312"/>
                <w:color w:val="000000"/>
              </w:rPr>
              <w:t>2.1</w:t>
            </w:r>
            <w:r>
              <w:rPr>
                <w:rFonts w:ascii="仿宋_GB2312" w:hAnsi="仿宋_GB2312" w:cs="仿宋_GB2312" w:eastAsia="仿宋_GB2312"/>
                <w:color w:val="000000"/>
              </w:rPr>
              <w:t>活动主题：自拟（</w:t>
            </w:r>
            <w:r>
              <w:rPr>
                <w:rFonts w:ascii="仿宋_GB2312" w:hAnsi="仿宋_GB2312" w:cs="仿宋_GB2312" w:eastAsia="仿宋_GB2312"/>
                <w:color w:val="000000"/>
              </w:rPr>
              <w:t>须于本次大会名称相关，</w:t>
            </w:r>
            <w:r>
              <w:rPr>
                <w:rFonts w:ascii="仿宋_GB2312" w:hAnsi="仿宋_GB2312" w:cs="仿宋_GB2312" w:eastAsia="仿宋_GB2312"/>
                <w:color w:val="000000"/>
              </w:rPr>
              <w:t>可参考往届硬科技创新大会）</w:t>
            </w:r>
          </w:p>
          <w:p>
            <w:pPr>
              <w:pStyle w:val="null3"/>
              <w:ind w:firstLine="640"/>
              <w:jc w:val="both"/>
            </w:pPr>
            <w:r>
              <w:rPr>
                <w:rFonts w:ascii="仿宋_GB2312" w:hAnsi="仿宋_GB2312" w:cs="仿宋_GB2312" w:eastAsia="仿宋_GB2312"/>
                <w:color w:val="000000"/>
              </w:rPr>
              <w:t xml:space="preserve">2.2 </w:t>
            </w:r>
            <w:r>
              <w:rPr>
                <w:rFonts w:ascii="仿宋_GB2312" w:hAnsi="仿宋_GB2312" w:cs="仿宋_GB2312" w:eastAsia="仿宋_GB2312"/>
                <w:color w:val="000000"/>
              </w:rPr>
              <w:t>设计原则：主题突出、符合大会调性。</w:t>
            </w:r>
          </w:p>
          <w:p>
            <w:pPr>
              <w:pStyle w:val="null3"/>
              <w:ind w:firstLine="640"/>
              <w:jc w:val="both"/>
            </w:pPr>
            <w:r>
              <w:rPr>
                <w:rFonts w:ascii="仿宋_GB2312" w:hAnsi="仿宋_GB2312" w:cs="仿宋_GB2312" w:eastAsia="仿宋_GB2312"/>
                <w:color w:val="000000"/>
              </w:rPr>
              <w:t xml:space="preserve">2.3 </w:t>
            </w:r>
            <w:r>
              <w:rPr>
                <w:rFonts w:ascii="仿宋_GB2312" w:hAnsi="仿宋_GB2312" w:cs="仿宋_GB2312" w:eastAsia="仿宋_GB2312"/>
                <w:color w:val="000000"/>
              </w:rPr>
              <w:t>活动地点：西安市范围内</w:t>
            </w:r>
          </w:p>
          <w:p>
            <w:pPr>
              <w:pStyle w:val="null3"/>
              <w:ind w:firstLine="640"/>
              <w:jc w:val="both"/>
            </w:pPr>
            <w:r>
              <w:rPr>
                <w:rFonts w:ascii="仿宋_GB2312" w:hAnsi="仿宋_GB2312" w:cs="仿宋_GB2312" w:eastAsia="仿宋_GB2312"/>
                <w:color w:val="000000"/>
              </w:rPr>
              <w:t xml:space="preserve">2.4 </w:t>
            </w:r>
            <w:r>
              <w:rPr>
                <w:rFonts w:ascii="仿宋_GB2312" w:hAnsi="仿宋_GB2312" w:cs="仿宋_GB2312" w:eastAsia="仿宋_GB2312"/>
                <w:color w:val="000000"/>
              </w:rPr>
              <w:t>设计搭建内容：</w:t>
            </w:r>
          </w:p>
          <w:p>
            <w:pPr>
              <w:pStyle w:val="null3"/>
              <w:ind w:firstLine="640"/>
              <w:jc w:val="both"/>
            </w:pPr>
            <w:r>
              <w:rPr>
                <w:rFonts w:ascii="仿宋_GB2312" w:hAnsi="仿宋_GB2312" w:cs="仿宋_GB2312" w:eastAsia="仿宋_GB2312"/>
                <w:color w:val="000000"/>
              </w:rPr>
              <w:t xml:space="preserve">2.4.1 </w:t>
            </w:r>
            <w:r>
              <w:rPr>
                <w:rFonts w:ascii="仿宋_GB2312" w:hAnsi="仿宋_GB2312" w:cs="仿宋_GB2312" w:eastAsia="仿宋_GB2312"/>
                <w:color w:val="000000"/>
              </w:rPr>
              <w:t>会场内：主会场（</w:t>
            </w:r>
            <w:r>
              <w:rPr>
                <w:rFonts w:ascii="仿宋_GB2312" w:hAnsi="仿宋_GB2312" w:cs="仿宋_GB2312" w:eastAsia="仿宋_GB2312"/>
              </w:rPr>
              <w:t>硬科技示范区建设论坛</w:t>
            </w:r>
            <w:r>
              <w:rPr>
                <w:rFonts w:ascii="仿宋_GB2312" w:hAnsi="仿宋_GB2312" w:cs="仿宋_GB2312" w:eastAsia="仿宋_GB2312"/>
                <w:color w:val="000000"/>
              </w:rPr>
              <w:t>）及分会场（相关系列活动）的主舞台、主背景、主持席、演讲席、会场灯光音响、贵宾区、嘉宾区、代表区、媒体区、网络直播（转播）机位、同声传译区、合影背景板、欢迎背景板、导师、摆台、桌签等。</w:t>
            </w:r>
          </w:p>
          <w:p>
            <w:pPr>
              <w:pStyle w:val="null3"/>
              <w:ind w:firstLine="640"/>
              <w:jc w:val="both"/>
            </w:pPr>
            <w:r>
              <w:rPr>
                <w:rFonts w:ascii="仿宋_GB2312" w:hAnsi="仿宋_GB2312" w:cs="仿宋_GB2312" w:eastAsia="仿宋_GB2312"/>
                <w:color w:val="000000"/>
              </w:rPr>
              <w:t xml:space="preserve">2.4.2 </w:t>
            </w:r>
            <w:r>
              <w:rPr>
                <w:rFonts w:ascii="仿宋_GB2312" w:hAnsi="仿宋_GB2312" w:cs="仿宋_GB2312" w:eastAsia="仿宋_GB2312"/>
                <w:color w:val="000000"/>
              </w:rPr>
              <w:t>会场外：酒店氛围营造、城市氛围营造、场地氛围营造等。</w:t>
            </w:r>
          </w:p>
          <w:p>
            <w:pPr>
              <w:pStyle w:val="null3"/>
              <w:ind w:firstLine="640"/>
              <w:jc w:val="both"/>
            </w:pPr>
            <w:r>
              <w:rPr>
                <w:rFonts w:ascii="仿宋_GB2312" w:hAnsi="仿宋_GB2312" w:cs="仿宋_GB2312" w:eastAsia="仿宋_GB2312"/>
                <w:color w:val="000000"/>
              </w:rPr>
              <w:t xml:space="preserve">2.4.3 </w:t>
            </w:r>
            <w:r>
              <w:rPr>
                <w:rFonts w:ascii="仿宋_GB2312" w:hAnsi="仿宋_GB2312" w:cs="仿宋_GB2312" w:eastAsia="仿宋_GB2312"/>
                <w:color w:val="000000"/>
              </w:rPr>
              <w:t>相关项目：会场分区示意图、会场动线示意图、请柬、会议手册、手提袋、证件、桌签、温馨提示等物料的设计及制作。</w:t>
            </w:r>
          </w:p>
          <w:p>
            <w:pPr>
              <w:pStyle w:val="null3"/>
              <w:ind w:firstLine="640"/>
              <w:jc w:val="both"/>
            </w:pPr>
            <w:r>
              <w:rPr>
                <w:rFonts w:ascii="仿宋_GB2312" w:hAnsi="仿宋_GB2312" w:cs="仿宋_GB2312" w:eastAsia="仿宋_GB2312"/>
                <w:color w:val="000000"/>
              </w:rPr>
              <w:t>2.5.</w:t>
            </w:r>
            <w:r>
              <w:rPr>
                <w:rFonts w:ascii="仿宋_GB2312" w:hAnsi="仿宋_GB2312" w:cs="仿宋_GB2312" w:eastAsia="仿宋_GB2312"/>
                <w:color w:val="000000"/>
              </w:rPr>
              <w:t>技术要求</w:t>
            </w:r>
          </w:p>
          <w:p>
            <w:pPr>
              <w:pStyle w:val="null3"/>
              <w:ind w:firstLine="640"/>
              <w:jc w:val="both"/>
            </w:pPr>
            <w:r>
              <w:rPr>
                <w:rFonts w:ascii="仿宋_GB2312" w:hAnsi="仿宋_GB2312" w:cs="仿宋_GB2312" w:eastAsia="仿宋_GB2312"/>
                <w:color w:val="000000"/>
              </w:rPr>
              <w:t>2.5.1</w:t>
            </w:r>
            <w:r>
              <w:rPr>
                <w:rFonts w:ascii="仿宋_GB2312" w:hAnsi="仿宋_GB2312" w:cs="仿宋_GB2312" w:eastAsia="仿宋_GB2312"/>
                <w:color w:val="000000"/>
              </w:rPr>
              <w:t>背景板需使用环保材料，保证画面精细、色彩纯正、板面整洁、无异味。如采用</w:t>
            </w:r>
            <w:r>
              <w:rPr>
                <w:rFonts w:ascii="仿宋_GB2312" w:hAnsi="仿宋_GB2312" w:cs="仿宋_GB2312" w:eastAsia="仿宋_GB2312"/>
                <w:color w:val="000000"/>
              </w:rPr>
              <w:t xml:space="preserve"> LED </w:t>
            </w:r>
            <w:r>
              <w:rPr>
                <w:rFonts w:ascii="仿宋_GB2312" w:hAnsi="仿宋_GB2312" w:cs="仿宋_GB2312" w:eastAsia="仿宋_GB2312"/>
                <w:color w:val="000000"/>
              </w:rPr>
              <w:t>屏，屏幕分辨率不能低于</w:t>
            </w:r>
            <w:r>
              <w:rPr>
                <w:rFonts w:ascii="仿宋_GB2312" w:hAnsi="仿宋_GB2312" w:cs="仿宋_GB2312" w:eastAsia="仿宋_GB2312"/>
                <w:color w:val="000000"/>
              </w:rPr>
              <w:t xml:space="preserve"> P2 </w:t>
            </w:r>
            <w:r>
              <w:rPr>
                <w:rFonts w:ascii="仿宋_GB2312" w:hAnsi="仿宋_GB2312" w:cs="仿宋_GB2312" w:eastAsia="仿宋_GB2312"/>
                <w:color w:val="000000"/>
              </w:rPr>
              <w:t>级，预留播放现场返送画面端口。</w:t>
            </w:r>
          </w:p>
          <w:p>
            <w:pPr>
              <w:pStyle w:val="null3"/>
              <w:ind w:firstLine="640"/>
              <w:jc w:val="both"/>
            </w:pPr>
            <w:r>
              <w:rPr>
                <w:rFonts w:ascii="仿宋_GB2312" w:hAnsi="仿宋_GB2312" w:cs="仿宋_GB2312" w:eastAsia="仿宋_GB2312"/>
                <w:color w:val="000000"/>
              </w:rPr>
              <w:t>2.5.2</w:t>
            </w:r>
            <w:r>
              <w:rPr>
                <w:rFonts w:ascii="仿宋_GB2312" w:hAnsi="仿宋_GB2312" w:cs="仿宋_GB2312" w:eastAsia="仿宋_GB2312"/>
                <w:color w:val="000000"/>
              </w:rPr>
              <w:t>演讲台、主持台均不能少于</w:t>
            </w:r>
            <w:r>
              <w:rPr>
                <w:rFonts w:ascii="仿宋_GB2312" w:hAnsi="仿宋_GB2312" w:cs="仿宋_GB2312" w:eastAsia="仿宋_GB2312"/>
                <w:color w:val="000000"/>
              </w:rPr>
              <w:t xml:space="preserve"> 4 </w:t>
            </w:r>
            <w:r>
              <w:rPr>
                <w:rFonts w:ascii="仿宋_GB2312" w:hAnsi="仿宋_GB2312" w:cs="仿宋_GB2312" w:eastAsia="仿宋_GB2312"/>
                <w:color w:val="000000"/>
              </w:rPr>
              <w:t>路音频输入，同时提供不少于</w:t>
            </w:r>
            <w:r>
              <w:rPr>
                <w:rFonts w:ascii="仿宋_GB2312" w:hAnsi="仿宋_GB2312" w:cs="仿宋_GB2312" w:eastAsia="仿宋_GB2312"/>
                <w:color w:val="000000"/>
              </w:rPr>
              <w:t xml:space="preserve"> 6 </w:t>
            </w:r>
            <w:r>
              <w:rPr>
                <w:rFonts w:ascii="仿宋_GB2312" w:hAnsi="仿宋_GB2312" w:cs="仿宋_GB2312" w:eastAsia="仿宋_GB2312"/>
                <w:color w:val="000000"/>
              </w:rPr>
              <w:t>个移动话筒，预留电视直播（转播）音频输出，同声传译音频输出。</w:t>
            </w:r>
          </w:p>
          <w:p>
            <w:pPr>
              <w:pStyle w:val="null3"/>
              <w:ind w:firstLine="640"/>
              <w:jc w:val="both"/>
            </w:pPr>
            <w:r>
              <w:rPr>
                <w:rFonts w:ascii="仿宋_GB2312" w:hAnsi="仿宋_GB2312" w:cs="仿宋_GB2312" w:eastAsia="仿宋_GB2312"/>
                <w:color w:val="000000"/>
              </w:rPr>
              <w:t>2.5.3</w:t>
            </w:r>
            <w:r>
              <w:rPr>
                <w:rFonts w:ascii="仿宋_GB2312" w:hAnsi="仿宋_GB2312" w:cs="仿宋_GB2312" w:eastAsia="仿宋_GB2312"/>
                <w:color w:val="000000"/>
              </w:rPr>
              <w:t>灯光照度、色温必须满足电视直播（转播）要求，演讲人面部不能产生阴影。</w:t>
            </w:r>
          </w:p>
          <w:p>
            <w:pPr>
              <w:pStyle w:val="null3"/>
              <w:ind w:firstLine="640"/>
              <w:jc w:val="both"/>
            </w:pPr>
            <w:r>
              <w:rPr>
                <w:rFonts w:ascii="仿宋_GB2312" w:hAnsi="仿宋_GB2312" w:cs="仿宋_GB2312" w:eastAsia="仿宋_GB2312"/>
                <w:color w:val="000000"/>
              </w:rPr>
              <w:t>2.5.4</w:t>
            </w:r>
            <w:r>
              <w:rPr>
                <w:rFonts w:ascii="仿宋_GB2312" w:hAnsi="仿宋_GB2312" w:cs="仿宋_GB2312" w:eastAsia="仿宋_GB2312"/>
                <w:color w:val="000000"/>
              </w:rPr>
              <w:t>舞台踏步必须保证平稳、宽度适中，舞台表面必须牢固平整、无晃动、无异响、无异味。</w:t>
            </w:r>
          </w:p>
          <w:p>
            <w:pPr>
              <w:pStyle w:val="null3"/>
              <w:ind w:firstLine="640"/>
              <w:jc w:val="both"/>
            </w:pPr>
            <w:r>
              <w:rPr>
                <w:rFonts w:ascii="仿宋_GB2312" w:hAnsi="仿宋_GB2312" w:cs="仿宋_GB2312" w:eastAsia="仿宋_GB2312"/>
              </w:rPr>
              <w:t>3.直播系统</w:t>
            </w:r>
          </w:p>
          <w:p>
            <w:pPr>
              <w:pStyle w:val="null3"/>
              <w:ind w:firstLine="640"/>
              <w:jc w:val="both"/>
            </w:pPr>
            <w:r>
              <w:rPr>
                <w:rFonts w:ascii="仿宋_GB2312" w:hAnsi="仿宋_GB2312" w:cs="仿宋_GB2312" w:eastAsia="仿宋_GB2312"/>
              </w:rPr>
              <w:t>直播系统包括但不限于直播平台、导播台、4K机位、专用网络。</w:t>
            </w:r>
          </w:p>
          <w:p>
            <w:pPr>
              <w:pStyle w:val="null3"/>
              <w:ind w:firstLine="640"/>
              <w:jc w:val="both"/>
            </w:pPr>
            <w:r>
              <w:rPr>
                <w:rFonts w:ascii="仿宋_GB2312" w:hAnsi="仿宋_GB2312" w:cs="仿宋_GB2312" w:eastAsia="仿宋_GB2312"/>
              </w:rPr>
              <w:t>3.1.直播延迟控制在300ms以内，具备实时回放功能。</w:t>
            </w:r>
          </w:p>
          <w:p>
            <w:pPr>
              <w:pStyle w:val="null3"/>
              <w:ind w:firstLine="640"/>
              <w:jc w:val="both"/>
            </w:pPr>
            <w:r>
              <w:rPr>
                <w:rFonts w:ascii="仿宋_GB2312" w:hAnsi="仿宋_GB2312" w:cs="仿宋_GB2312" w:eastAsia="仿宋_GB2312"/>
              </w:rPr>
              <w:t>3.2、导播台系统需支持至少12路 PGM/PVW 切换，具备画中画、淡入淡出等转场特效；内置字幕系统，可叠加静态字幕、动态字幕、时钟及论坛 LOGO；支持云台预置位控制，可预设演讲者近景、观众全景等常用机位。</w:t>
            </w:r>
          </w:p>
          <w:p>
            <w:pPr>
              <w:pStyle w:val="null3"/>
              <w:ind w:firstLine="640"/>
              <w:jc w:val="both"/>
            </w:pPr>
            <w:r>
              <w:rPr>
                <w:rFonts w:ascii="仿宋_GB2312" w:hAnsi="仿宋_GB2312" w:cs="仿宋_GB2312" w:eastAsia="仿宋_GB2312"/>
              </w:rPr>
              <w:t>3.3、会场至少设置3个固定机位：含1个主席台全景机位、2个演讲者近景机位；配备1个移动机位，设置1个全景安全机位：采用</w:t>
            </w:r>
            <w:r>
              <w:rPr>
                <w:rFonts w:ascii="仿宋_GB2312" w:hAnsi="仿宋_GB2312" w:cs="仿宋_GB2312" w:eastAsia="仿宋_GB2312"/>
                <w:color w:val="000000"/>
              </w:rPr>
              <w:t>独立链路传输，作为系统备份</w:t>
            </w:r>
            <w:r>
              <w:rPr>
                <w:rFonts w:ascii="仿宋_GB2312" w:hAnsi="仿宋_GB2312" w:cs="仿宋_GB2312" w:eastAsia="仿宋_GB2312"/>
              </w:rPr>
              <w:t>。支持至少60fps 帧率拍摄，至少10bit 色深输出。</w:t>
            </w:r>
          </w:p>
          <w:p>
            <w:pPr>
              <w:pStyle w:val="null3"/>
              <w:ind w:firstLine="640"/>
              <w:jc w:val="both"/>
            </w:pPr>
            <w:r>
              <w:rPr>
                <w:rFonts w:ascii="仿宋_GB2312" w:hAnsi="仿宋_GB2312" w:cs="仿宋_GB2312" w:eastAsia="仿宋_GB2312"/>
              </w:rPr>
              <w:t>3.4、直播视频交付格式：采用 MP4 封装，同时提供 MOV 格式作为编辑素材备份。分辨率要求4K 版本至少保持 3840×2160（16:9），720P 版本至少为 1280×720。</w:t>
            </w:r>
          </w:p>
          <w:p>
            <w:pPr>
              <w:pStyle w:val="null3"/>
              <w:ind w:firstLine="640"/>
              <w:jc w:val="both"/>
            </w:pPr>
            <w:r>
              <w:rPr>
                <w:rFonts w:ascii="仿宋_GB2312" w:hAnsi="仿宋_GB2312" w:cs="仿宋_GB2312" w:eastAsia="仿宋_GB2312"/>
              </w:rPr>
              <w:t>4.会务要求</w:t>
            </w:r>
          </w:p>
          <w:p>
            <w:pPr>
              <w:pStyle w:val="null3"/>
              <w:ind w:firstLine="640"/>
              <w:jc w:val="both"/>
            </w:pPr>
            <w:r>
              <w:rPr>
                <w:rFonts w:ascii="仿宋_GB2312" w:hAnsi="仿宋_GB2312" w:cs="仿宋_GB2312" w:eastAsia="仿宋_GB2312"/>
                <w:color w:val="000000"/>
              </w:rPr>
              <w:t>4.1.</w:t>
            </w:r>
            <w:r>
              <w:rPr>
                <w:rFonts w:ascii="仿宋_GB2312" w:hAnsi="仿宋_GB2312" w:cs="仿宋_GB2312" w:eastAsia="仿宋_GB2312"/>
                <w:color w:val="000000"/>
              </w:rPr>
              <w:t>项目负责人：具有大专（含）以上学历，有丰富大型活动经验，独立带领团队执行不少于</w:t>
            </w:r>
            <w:r>
              <w:rPr>
                <w:rFonts w:ascii="仿宋_GB2312" w:hAnsi="仿宋_GB2312" w:cs="仿宋_GB2312" w:eastAsia="仿宋_GB2312"/>
                <w:color w:val="000000"/>
              </w:rPr>
              <w:t>2</w:t>
            </w:r>
            <w:r>
              <w:rPr>
                <w:rFonts w:ascii="仿宋_GB2312" w:hAnsi="仿宋_GB2312" w:cs="仿宋_GB2312" w:eastAsia="仿宋_GB2312"/>
                <w:color w:val="000000"/>
              </w:rPr>
              <w:t>个的</w:t>
            </w:r>
            <w:r>
              <w:rPr>
                <w:rFonts w:ascii="仿宋_GB2312" w:hAnsi="仿宋_GB2312" w:cs="仿宋_GB2312" w:eastAsia="仿宋_GB2312"/>
                <w:color w:val="000000"/>
              </w:rPr>
              <w:t>类似会议项目</w:t>
            </w:r>
            <w:r>
              <w:rPr>
                <w:rFonts w:ascii="仿宋_GB2312" w:hAnsi="仿宋_GB2312" w:cs="仿宋_GB2312" w:eastAsia="仿宋_GB2312"/>
                <w:color w:val="000000"/>
              </w:rPr>
              <w:t>。</w:t>
            </w:r>
          </w:p>
          <w:p>
            <w:pPr>
              <w:pStyle w:val="null3"/>
              <w:ind w:firstLine="640"/>
              <w:jc w:val="both"/>
            </w:pPr>
            <w:r>
              <w:rPr>
                <w:rFonts w:ascii="仿宋_GB2312" w:hAnsi="仿宋_GB2312" w:cs="仿宋_GB2312" w:eastAsia="仿宋_GB2312"/>
                <w:color w:val="000000"/>
              </w:rPr>
              <w:t>4.2.</w:t>
            </w:r>
            <w:r>
              <w:rPr>
                <w:rFonts w:ascii="仿宋_GB2312" w:hAnsi="仿宋_GB2312" w:cs="仿宋_GB2312" w:eastAsia="仿宋_GB2312"/>
                <w:color w:val="000000"/>
              </w:rPr>
              <w:t>服务商需有大局意识、配合意识，安排专人对接大会组委会，确保工作与服务无缝衔接；活动现场各环节均有对应项目负责人，保障及时处理应急突发事件。</w:t>
            </w:r>
          </w:p>
          <w:p>
            <w:pPr>
              <w:pStyle w:val="null3"/>
              <w:ind w:firstLine="640"/>
              <w:jc w:val="both"/>
            </w:pPr>
            <w:r>
              <w:rPr>
                <w:rFonts w:ascii="仿宋_GB2312" w:hAnsi="仿宋_GB2312" w:cs="仿宋_GB2312" w:eastAsia="仿宋_GB2312"/>
                <w:color w:val="000000"/>
              </w:rPr>
              <w:t>5.</w:t>
            </w:r>
            <w:r>
              <w:rPr>
                <w:rFonts w:ascii="仿宋_GB2312" w:hAnsi="仿宋_GB2312" w:cs="仿宋_GB2312" w:eastAsia="仿宋_GB2312"/>
                <w:color w:val="000000"/>
              </w:rPr>
              <w:t>宣传报道</w:t>
            </w:r>
          </w:p>
          <w:p>
            <w:pPr>
              <w:pStyle w:val="null3"/>
              <w:ind w:firstLine="640"/>
              <w:jc w:val="both"/>
            </w:pPr>
            <w:r>
              <w:rPr>
                <w:rFonts w:ascii="仿宋_GB2312" w:hAnsi="仿宋_GB2312" w:cs="仿宋_GB2312" w:eastAsia="仿宋_GB2312"/>
                <w:color w:val="000000"/>
              </w:rPr>
              <w:t>3.1.</w:t>
            </w:r>
            <w:r>
              <w:rPr>
                <w:rFonts w:ascii="仿宋_GB2312" w:hAnsi="仿宋_GB2312" w:cs="仿宋_GB2312" w:eastAsia="仿宋_GB2312"/>
                <w:color w:val="000000"/>
              </w:rPr>
              <w:t>制定详细媒体宣传策略和推广方案，围绕大会主题开展系列宣传策划、内容编辑、推广工作，实现全方位、多角度、多层次、立体式宣传。</w:t>
            </w:r>
          </w:p>
          <w:p>
            <w:pPr>
              <w:pStyle w:val="null3"/>
              <w:ind w:firstLine="640"/>
              <w:jc w:val="both"/>
            </w:pPr>
            <w:r>
              <w:rPr>
                <w:rFonts w:ascii="仿宋_GB2312" w:hAnsi="仿宋_GB2312" w:cs="仿宋_GB2312" w:eastAsia="仿宋_GB2312"/>
                <w:color w:val="000000"/>
              </w:rPr>
              <w:t>3.2.</w:t>
            </w:r>
            <w:r>
              <w:rPr>
                <w:rFonts w:ascii="仿宋_GB2312" w:hAnsi="仿宋_GB2312" w:cs="仿宋_GB2312" w:eastAsia="仿宋_GB2312"/>
                <w:color w:val="000000"/>
              </w:rPr>
              <w:t>在国家、省、市各大媒体及新媒体平台进行专题报道、新闻推送，提升大会知名度与影响力，推动西安走向国际化，营造良好口碑，吸引资本力量。</w:t>
            </w:r>
          </w:p>
          <w:p>
            <w:pPr>
              <w:pStyle w:val="null3"/>
              <w:ind w:firstLine="640"/>
              <w:jc w:val="both"/>
            </w:pPr>
            <w:r>
              <w:rPr>
                <w:rFonts w:ascii="仿宋_GB2312" w:hAnsi="仿宋_GB2312" w:cs="仿宋_GB2312" w:eastAsia="仿宋_GB2312"/>
              </w:rPr>
              <w:t>6.其他要求</w:t>
            </w:r>
          </w:p>
          <w:p>
            <w:pPr>
              <w:pStyle w:val="null3"/>
              <w:ind w:firstLine="640"/>
              <w:jc w:val="both"/>
            </w:pPr>
            <w:r>
              <w:rPr>
                <w:rFonts w:ascii="仿宋_GB2312" w:hAnsi="仿宋_GB2312" w:cs="仿宋_GB2312" w:eastAsia="仿宋_GB2312"/>
              </w:rPr>
              <w:t>4.1服务商需提供设计方案平面图、效果图及相关设计说明。</w:t>
            </w:r>
          </w:p>
          <w:p>
            <w:pPr>
              <w:pStyle w:val="null3"/>
              <w:ind w:firstLine="640"/>
              <w:jc w:val="both"/>
            </w:pPr>
            <w:r>
              <w:rPr>
                <w:rFonts w:ascii="仿宋_GB2312" w:hAnsi="仿宋_GB2312" w:cs="仿宋_GB2312" w:eastAsia="仿宋_GB2312"/>
              </w:rPr>
              <w:t>4.2.服务商需承诺，无条件服从并落实采购人对设计方案提出的修改要求，在修改造价不超过中标总价3%的情况下，不增加任何费用。</w:t>
            </w:r>
          </w:p>
          <w:p>
            <w:pPr>
              <w:pStyle w:val="null3"/>
              <w:ind w:firstLine="640"/>
              <w:jc w:val="both"/>
            </w:pPr>
            <w:r>
              <w:rPr>
                <w:rFonts w:ascii="仿宋_GB2312" w:hAnsi="仿宋_GB2312" w:cs="仿宋_GB2312" w:eastAsia="仿宋_GB2312"/>
              </w:rPr>
              <w:t>4.3.服务商要负责承担本次活动招标代理费用和会后审计工作费用。</w:t>
            </w:r>
          </w:p>
          <w:p>
            <w:pPr>
              <w:pStyle w:val="null3"/>
              <w:spacing w:after="120"/>
              <w:ind w:firstLine="640"/>
              <w:jc w:val="both"/>
            </w:pPr>
            <w:r>
              <w:rPr>
                <w:rFonts w:ascii="仿宋_GB2312" w:hAnsi="仿宋_GB2312" w:cs="仿宋_GB2312" w:eastAsia="仿宋_GB2312"/>
              </w:rPr>
              <w:t>4.4 成果文件</w:t>
            </w:r>
          </w:p>
          <w:p>
            <w:pPr>
              <w:pStyle w:val="null3"/>
              <w:spacing w:after="120"/>
              <w:ind w:firstLine="640"/>
              <w:jc w:val="both"/>
            </w:pPr>
            <w:r>
              <w:rPr>
                <w:rFonts w:ascii="仿宋_GB2312" w:hAnsi="仿宋_GB2312" w:cs="仿宋_GB2312" w:eastAsia="仿宋_GB2312"/>
              </w:rPr>
              <w:t>成果文件：服务商成交并签订合同后，须组织编制《国家硬科技示范区建设成效报告》，内容包含但不限于高新区近年来建设情况、科技企业发展报告，产业发展情况。</w:t>
            </w:r>
          </w:p>
          <w:p>
            <w:pPr>
              <w:pStyle w:val="null3"/>
              <w:ind w:firstLine="643"/>
              <w:jc w:val="both"/>
            </w:pPr>
            <w:r>
              <w:rPr>
                <w:rFonts w:ascii="仿宋_GB2312" w:hAnsi="仿宋_GB2312" w:cs="仿宋_GB2312" w:eastAsia="仿宋_GB2312"/>
                <w:b/>
              </w:rPr>
              <w:t>三、拟投入本项目的费用测算</w:t>
            </w:r>
          </w:p>
          <w:p>
            <w:pPr>
              <w:pStyle w:val="null3"/>
              <w:ind w:firstLine="640"/>
              <w:jc w:val="both"/>
            </w:pPr>
            <w:r>
              <w:rPr>
                <w:rFonts w:ascii="仿宋_GB2312" w:hAnsi="仿宋_GB2312" w:cs="仿宋_GB2312" w:eastAsia="仿宋_GB2312"/>
              </w:rPr>
              <w:t>本项目总预算约230万元，包括但不限于人员工资、设计费、住宿费、餐饮费、设备费、场地费、宣传费、管理费、利润、风险、招标代理费用、会后审计工作费用及各种税金等所有费用。</w:t>
            </w:r>
          </w:p>
          <w:p>
            <w:pPr>
              <w:pStyle w:val="null3"/>
              <w:ind w:firstLine="643"/>
              <w:jc w:val="both"/>
            </w:pPr>
            <w:r>
              <w:rPr>
                <w:rFonts w:ascii="仿宋_GB2312" w:hAnsi="仿宋_GB2312" w:cs="仿宋_GB2312" w:eastAsia="仿宋_GB2312"/>
                <w:b/>
              </w:rPr>
              <w:t>四、付款方式</w:t>
            </w:r>
          </w:p>
          <w:p>
            <w:pPr>
              <w:pStyle w:val="null3"/>
              <w:ind w:firstLine="640"/>
              <w:jc w:val="both"/>
            </w:pPr>
            <w:r>
              <w:rPr>
                <w:rFonts w:ascii="仿宋_GB2312" w:hAnsi="仿宋_GB2312" w:cs="仿宋_GB2312" w:eastAsia="仿宋_GB2312"/>
              </w:rPr>
              <w:t>1.付款方式：合同签订后，预付合同价款的40%；大会结束后，乙方服务经审计与验收符合采购要求，甲方支付审计后的剩余款项。</w:t>
            </w:r>
          </w:p>
          <w:p>
            <w:pPr>
              <w:pStyle w:val="null3"/>
              <w:ind w:firstLine="640"/>
              <w:jc w:val="both"/>
            </w:pPr>
            <w:r>
              <w:rPr>
                <w:rFonts w:ascii="仿宋_GB2312" w:hAnsi="仿宋_GB2312" w:cs="仿宋_GB2312" w:eastAsia="仿宋_GB2312"/>
              </w:rPr>
              <w:t>2.结算方式：银行转账。</w:t>
            </w:r>
          </w:p>
          <w:p>
            <w:pPr>
              <w:pStyle w:val="null3"/>
              <w:ind w:firstLine="640"/>
              <w:jc w:val="both"/>
            </w:pPr>
            <w:r>
              <w:rPr>
                <w:rFonts w:ascii="仿宋_GB2312" w:hAnsi="仿宋_GB2312" w:cs="仿宋_GB2312" w:eastAsia="仿宋_GB2312"/>
              </w:rPr>
              <w:t>3.结算单位：由甲方负责结算，乙方开具合同价款的全额发票给甲方。</w:t>
            </w:r>
          </w:p>
          <w:p>
            <w:pPr>
              <w:pStyle w:val="null3"/>
              <w:ind w:firstLine="643"/>
              <w:jc w:val="both"/>
            </w:pPr>
            <w:r>
              <w:rPr>
                <w:rFonts w:ascii="仿宋_GB2312" w:hAnsi="仿宋_GB2312" w:cs="仿宋_GB2312" w:eastAsia="仿宋_GB2312"/>
                <w:b/>
              </w:rPr>
              <w:t>五、其他事项</w:t>
            </w:r>
          </w:p>
          <w:p>
            <w:pPr>
              <w:pStyle w:val="null3"/>
              <w:ind w:firstLine="640"/>
              <w:jc w:val="both"/>
            </w:pPr>
            <w:r>
              <w:rPr>
                <w:rFonts w:ascii="仿宋_GB2312" w:hAnsi="仿宋_GB2312" w:cs="仿宋_GB2312" w:eastAsia="仿宋_GB2312"/>
              </w:rPr>
              <w:t>1.进度要求</w:t>
            </w:r>
          </w:p>
          <w:p>
            <w:pPr>
              <w:pStyle w:val="null3"/>
              <w:ind w:firstLine="640"/>
              <w:jc w:val="both"/>
            </w:pPr>
            <w:r>
              <w:rPr>
                <w:rFonts w:ascii="仿宋_GB2312" w:hAnsi="仿宋_GB2312" w:cs="仿宋_GB2312" w:eastAsia="仿宋_GB2312"/>
              </w:rPr>
              <w:t>中标人须于活动开始前1天完成会场搭建工作，通过甲方验收并满足会议彩排要求。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（响应文件格式-标的清单）本项目服务范围：2025硬科技创新大会高新区系列活动； 服务要求：符合招标文件有关技术、商务要求；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自合同签订之日起至本项目结束（具体时间以甲方通知为准）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采购人指定地点或服务商推荐并经采购人确认的地点。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大会结束后，乙方服务经审计与验收符合采购要求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（二）合同争议解决的方式：本合同在履行过程中发生的争议，由甲、乙双方当事人协商解决，协商不成的按下列第1种方式解决：1.提交西安仲裁委员会仲裁；2.依法向有管辖权的人民法院起诉。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 3.5.2保密条款:(1)成交供应商应严格遵守采购单位有关保密规定，不得泄漏一切机密;(2)在技术服务期间，成交供应商对接触到的有关采购单位商业活动、技术情报和技术资料等文件进行保密。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 2、基本资格条件承诺函</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法定代表人授权委托书、被授权人身份证（法定代表人参加投标时,只需提供法定代表人身份证；被授权人参加投标时，需提供投标前三个月内任意一个月供应商为其缴纳的社保证明材料）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分项报价表 投标函 中小企业声明函 残疾人福利性单位声明函 资格证明材料 标的清单 商务要求应答表 投标文件封面 陕西省政府采购投标人拒绝政府采购领域商业贿赂承诺书 监狱企业的证明文件 服务要求应答表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投标文件的签署、盖章符合招标文件要求，供应商递交的投标文件与本项目名称一致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投标人认为需要补充的其他内容 陕西省政府采购投标人拒绝政府采购领域商业贿赂承诺书</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供应商对项目的理解，内容包含但不限于①项目背景②项目需求③工作目标解读等进行综合评审。 前述要求的内容均有描述且符合本项目要求的得9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供应商对项目的实施方案，内容包含但不限于①项目整体实施方案②活动场地搭建及布置方案③宣传及推广方案④嘉宾接待方案⑤现场直播方案⑥质量保障措施等进行综合评审： 前述要求的内容均有描述且符合本项目要求的得24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供应商提供针对本项目的进度计划，内容包含但不限于①项目整体进度计划安排②整体进度计划保证措施③活动现场流程安排等进行综合评审。 前述要求的内容均有描述且符合本项目要求的得12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供应商提出针对于本项目的突发事件及安全保障方案，内容包含但不限于①应急预案②应急保障措施③安全预案④安全保障措施等进行综合评审。 前述要求的内容均有描述且符合本项目要求的得16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核心团队人员</w:t>
            </w:r>
          </w:p>
        </w:tc>
        <w:tc>
          <w:tcPr>
            <w:tcW w:type="dxa" w:w="2492"/>
          </w:tcPr>
          <w:p>
            <w:pPr>
              <w:pStyle w:val="null3"/>
            </w:pPr>
            <w:r>
              <w:rPr>
                <w:rFonts w:ascii="仿宋_GB2312" w:hAnsi="仿宋_GB2312" w:cs="仿宋_GB2312" w:eastAsia="仿宋_GB2312"/>
              </w:rPr>
              <w:t>供应商提供针对本项目的核心团队人员，内容包含但不限于①岗位配置方案②岗位职责③人员管理方案等进行综合评审； 前述要求的内容均有描述且符合本项目要求的得12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1.具有本科及以上学历，得2分； 2.在满足采购需求的基础上，每多提供一个类似项目业绩，得1分，本项最多得2分； 注：1.需提供投标截止时前三个月任意一个月供应商为其缴纳的社保证明材料，未提供本项整体不得分； 2.学历以毕业证书或学信网证明资料为准； 3.业绩需提供有效的证明材料，包括但不限于合同或成果文件或公示公告等；项目负责人的业绩与供应商业绩不重复计分。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供应商提供针对本项目的人员培训方案，方案包括但不限于①接待岗位行为规范②接待服务礼仪等内容； 前述要求的内容均有描述且符合本项目要求的得8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提供自2022年1月1日以来（以合同签订时间为准），供应商承担的类似业绩合同复印件或扫描件。每提供1个得1分,最高5分。不提供不得分（以加盖公章的合同复印件为准）。 注：项目负责人的业绩与供应商业绩不重复计分。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其价格分为满分。其他供应商的价格分统一按照下列公式计算：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详见附件：投标人认为需要补充的其他内容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