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版本号：LZBE2025-1709（XDZ2025-305-N-198）.20250929001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西安高新区水利社区（苏宁云著）嵌入式服务设施建设项目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LZBE2025-1709（XDZ2025-305-N-198）.</w:t>
      </w:r>
      <w:r>
        <w:br/>
      </w:r>
      <w:r>
        <w:br/>
      </w:r>
      <w:r>
        <w:br/>
      </w:r>
    </w:p>
    <w:p>
      <w:pPr>
        <w:pStyle w:val="null3"/>
        <w:jc w:val="center"/>
        <w:outlineLvl w:val="2"/>
      </w:pPr>
      <w:r>
        <w:rPr>
          <w:rFonts w:ascii="仿宋_GB2312" w:hAnsi="仿宋_GB2312" w:cs="仿宋_GB2312" w:eastAsia="仿宋_GB2312"/>
          <w:sz w:val="28"/>
          <w:b/>
        </w:rPr>
        <w:t>西安高新技术产业开发区社会事业服务局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西安高新技术产业开发区社会事业服务局</w:t>
      </w:r>
      <w:r>
        <w:rPr>
          <w:rFonts w:ascii="仿宋_GB2312" w:hAnsi="仿宋_GB2312" w:cs="仿宋_GB2312" w:eastAsia="仿宋_GB2312"/>
        </w:rPr>
        <w:t>委托，拟对</w:t>
      </w:r>
      <w:r>
        <w:rPr>
          <w:rFonts w:ascii="仿宋_GB2312" w:hAnsi="仿宋_GB2312" w:cs="仿宋_GB2312" w:eastAsia="仿宋_GB2312"/>
        </w:rPr>
        <w:t>西安高新区水利社区（苏宁云著）嵌入式服务设施建设项目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LZBE2025-1709（XDZ2025-305-N-198）.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西安高新区水利社区（苏宁云著）嵌入式服务设施建设项目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本项目主要包含以下内容：装饰工程、电气工程、给排水工程、通风空调工程，弱电工程等，具体详见具体内容详见工程量清单。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采购包1（西安高新区水利社区（苏宁云著）嵌入式服务设施建设项目）：属于专门面向中小企业采购。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税收缴纳凭证及社会保险缴纳的凭证：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p>
      <w:pPr>
        <w:pStyle w:val="null3"/>
      </w:pPr>
      <w:r>
        <w:rPr>
          <w:rFonts w:ascii="仿宋_GB2312" w:hAnsi="仿宋_GB2312" w:cs="仿宋_GB2312" w:eastAsia="仿宋_GB2312"/>
        </w:rPr>
        <w:t>2、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3、财务状况：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或提供《基本资格条件承诺函》；供应商需在项目电子化交易系统中按要求上传相应证明文件并进行电子签章；</w:t>
      </w:r>
    </w:p>
    <w:p>
      <w:pPr>
        <w:pStyle w:val="null3"/>
      </w:pPr>
      <w:r>
        <w:rPr>
          <w:rFonts w:ascii="仿宋_GB2312" w:hAnsi="仿宋_GB2312" w:cs="仿宋_GB2312" w:eastAsia="仿宋_GB2312"/>
        </w:rPr>
        <w:t>6、供应商信用状况：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p>
      <w:pPr>
        <w:pStyle w:val="null3"/>
      </w:pPr>
      <w:r>
        <w:rPr>
          <w:rFonts w:ascii="仿宋_GB2312" w:hAnsi="仿宋_GB2312" w:cs="仿宋_GB2312" w:eastAsia="仿宋_GB2312"/>
        </w:rPr>
        <w:t>7、供应商须具有建筑工程施工总承包三级及以上资质：供应商须具有建筑工程施工总承包三级及以上资质：供应商需在项目电子化交易系统中按要求上传相应证明文件并进行电子签章；</w:t>
      </w:r>
    </w:p>
    <w:p>
      <w:pPr>
        <w:pStyle w:val="null3"/>
      </w:pPr>
      <w:r>
        <w:rPr>
          <w:rFonts w:ascii="仿宋_GB2312" w:hAnsi="仿宋_GB2312" w:cs="仿宋_GB2312" w:eastAsia="仿宋_GB2312"/>
        </w:rPr>
        <w:t>8、供应商拟派项目负责人具有建筑工程专业二级及以上注册建造师证书，并在本单位注册及安全生产考核合格证书,且无在建：供应商拟派项目负责人具有建筑工程专业二级及以上注册建造师证书，并在本单位注册及安全生产考核合格证书,且无在建：供应商需在项目电子化交易系统中按要求上传相应证明文件并进行电子签章；</w:t>
      </w:r>
    </w:p>
    <w:p>
      <w:pPr>
        <w:pStyle w:val="null3"/>
      </w:pPr>
      <w:r>
        <w:rPr>
          <w:rFonts w:ascii="仿宋_GB2312" w:hAnsi="仿宋_GB2312" w:cs="仿宋_GB2312" w:eastAsia="仿宋_GB2312"/>
        </w:rPr>
        <w:t>9、供应商须具有安全生产许可证：供应商须具有安全生产许可证：供应商需在项目电子化交易系统中按要求上传相应证明文件并进行电子签章；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西安高新技术产业开发区社会事业服务局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高新区锦业路1号都市之门A座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81150320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吴岳、孙承国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说明：1、履约保证金缴纳时间：合同签订前，乙方须向甲方提供合同总价款5%的履约保证金。 2、履约保证金退还：乙方合同主要义务履行完毕，验收合格，缺陷责任期届满后，履约保证金退回乙方。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代理服务费收费标准：1、招标代理服务费按采购预算参照国家计委颁布的《招标代理服务收费管理暂行办法》（计价格【2002】1980号）及发改办价格【2003】857号中工程类标准收取，采用差额定律累进法计算。 2、成交单位在领取成交通知书之前，须向采购代理机构支付招标代理服务费。招标代理服务费以转账或现金形式缴纳至以下账户： 开户名称：龙寰项目管理咨询有限公司； 开户银行：平安银行西安高新路支行； 账号：30201278017603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西安高新技术产业开发区社会事业服务局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西安高新技术产业开发区社会事业服务局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西安高新技术产业开发区社会事业服务局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符合《绿色建筑和绿色建材政府采购需求标准》《建筑工程施工质量验收统一标准》GB50300-2013等相关国家及行业标准，质量要求：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联系人：吴岳、孙承国</w:t>
      </w:r>
    </w:p>
    <w:p>
      <w:pPr>
        <w:pStyle w:val="null3"/>
      </w:pPr>
      <w:r>
        <w:rPr>
          <w:rFonts w:ascii="仿宋_GB2312" w:hAnsi="仿宋_GB2312" w:cs="仿宋_GB2312" w:eastAsia="仿宋_GB2312"/>
        </w:rPr>
        <w:t>联系电话：029-88228899-652</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3,071,000.00</w:t>
      </w:r>
    </w:p>
    <w:p>
      <w:pPr>
        <w:pStyle w:val="null3"/>
      </w:pPr>
      <w:r>
        <w:rPr>
          <w:rFonts w:ascii="仿宋_GB2312" w:hAnsi="仿宋_GB2312" w:cs="仿宋_GB2312" w:eastAsia="仿宋_GB2312"/>
        </w:rPr>
        <w:t>采购包最高限价（元）: 3,071,000.00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西安高新区水利社区（苏宁云著）嵌入式服务设施建设项目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3,071,000.00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标的名称：西安高新区水利社区（苏宁云著）嵌入式服务设施建设项目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一、工程概况：</w:t>
            </w:r>
          </w:p>
          <w:p>
            <w:pPr>
              <w:pStyle w:val="null3"/>
              <w:ind w:firstLine="422"/>
            </w:pPr>
            <w:r>
              <w:rPr>
                <w:rFonts w:ascii="仿宋_GB2312" w:hAnsi="仿宋_GB2312" w:cs="仿宋_GB2312" w:eastAsia="仿宋_GB2312"/>
                <w:sz w:val="21"/>
              </w:rPr>
              <w:t>本工程为西安高新区水利社区（苏宁云著）嵌入式服务设施建设项目。项目主要工作内容：</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层墙体拆除、改造及垃圾清理、外运；</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层楼面、墙面及顶棚面装饰装修；</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层电气、弱电工程；</w:t>
            </w:r>
            <w:r>
              <w:rPr>
                <w:rFonts w:ascii="仿宋_GB2312" w:hAnsi="仿宋_GB2312" w:cs="仿宋_GB2312" w:eastAsia="仿宋_GB2312"/>
                <w:sz w:val="21"/>
              </w:rPr>
              <w:t>4</w:t>
            </w:r>
            <w:r>
              <w:rPr>
                <w:rFonts w:ascii="仿宋_GB2312" w:hAnsi="仿宋_GB2312" w:cs="仿宋_GB2312" w:eastAsia="仿宋_GB2312"/>
                <w:sz w:val="21"/>
              </w:rPr>
              <w:t>、空调、通风系统安装等。</w:t>
            </w:r>
          </w:p>
          <w:p>
            <w:pPr>
              <w:pStyle w:val="null3"/>
            </w:pPr>
            <w:r>
              <w:rPr>
                <w:rFonts w:ascii="仿宋_GB2312" w:hAnsi="仿宋_GB2312" w:cs="仿宋_GB2312" w:eastAsia="仿宋_GB2312"/>
                <w:sz w:val="21"/>
              </w:rPr>
              <w:t>二、编制依据：</w:t>
            </w:r>
          </w:p>
          <w:p>
            <w:pPr>
              <w:pStyle w:val="null3"/>
              <w:ind w:firstLine="840"/>
            </w:pPr>
            <w:r>
              <w:rPr>
                <w:rFonts w:ascii="仿宋_GB2312" w:hAnsi="仿宋_GB2312" w:cs="仿宋_GB2312" w:eastAsia="仿宋_GB2312"/>
                <w:sz w:val="21"/>
              </w:rPr>
              <w:t>1</w:t>
            </w:r>
            <w:r>
              <w:rPr>
                <w:rFonts w:ascii="仿宋_GB2312" w:hAnsi="仿宋_GB2312" w:cs="仿宋_GB2312" w:eastAsia="仿宋_GB2312"/>
                <w:sz w:val="21"/>
              </w:rPr>
              <w:t>、全套施工图纸；</w:t>
            </w:r>
          </w:p>
          <w:p>
            <w:pPr>
              <w:pStyle w:val="null3"/>
              <w:ind w:firstLine="422"/>
            </w:pPr>
            <w:r>
              <w:rPr>
                <w:rFonts w:ascii="仿宋_GB2312" w:hAnsi="仿宋_GB2312" w:cs="仿宋_GB2312" w:eastAsia="仿宋_GB2312"/>
                <w:sz w:val="21"/>
              </w:rPr>
              <w:t xml:space="preserve">    2</w:t>
            </w:r>
            <w:r>
              <w:rPr>
                <w:rFonts w:ascii="仿宋_GB2312" w:hAnsi="仿宋_GB2312" w:cs="仿宋_GB2312" w:eastAsia="仿宋_GB2312"/>
                <w:sz w:val="21"/>
              </w:rPr>
              <w:t>、《陕西省建设工程工程量清单计价计算标准》（</w:t>
            </w:r>
            <w:r>
              <w:rPr>
                <w:rFonts w:ascii="仿宋_GB2312" w:hAnsi="仿宋_GB2312" w:cs="仿宋_GB2312" w:eastAsia="仿宋_GB2312"/>
                <w:sz w:val="21"/>
              </w:rPr>
              <w:t>2025</w:t>
            </w:r>
            <w:r>
              <w:rPr>
                <w:rFonts w:ascii="仿宋_GB2312" w:hAnsi="仿宋_GB2312" w:cs="仿宋_GB2312" w:eastAsia="仿宋_GB2312"/>
                <w:sz w:val="21"/>
              </w:rPr>
              <w:t>）、《陕西省房屋建筑与装饰工程基价表》（</w:t>
            </w:r>
            <w:r>
              <w:rPr>
                <w:rFonts w:ascii="仿宋_GB2312" w:hAnsi="仿宋_GB2312" w:cs="仿宋_GB2312" w:eastAsia="仿宋_GB2312"/>
                <w:sz w:val="21"/>
              </w:rPr>
              <w:t>2025</w:t>
            </w:r>
            <w:r>
              <w:rPr>
                <w:rFonts w:ascii="仿宋_GB2312" w:hAnsi="仿宋_GB2312" w:cs="仿宋_GB2312" w:eastAsia="仿宋_GB2312"/>
                <w:sz w:val="21"/>
              </w:rPr>
              <w:t>版）、《陕西省通用安装工程基价表》（</w:t>
            </w:r>
            <w:r>
              <w:rPr>
                <w:rFonts w:ascii="仿宋_GB2312" w:hAnsi="仿宋_GB2312" w:cs="仿宋_GB2312" w:eastAsia="仿宋_GB2312"/>
                <w:sz w:val="21"/>
              </w:rPr>
              <w:t>2025</w:t>
            </w:r>
            <w:r>
              <w:rPr>
                <w:rFonts w:ascii="仿宋_GB2312" w:hAnsi="仿宋_GB2312" w:cs="仿宋_GB2312" w:eastAsia="仿宋_GB2312"/>
                <w:sz w:val="21"/>
              </w:rPr>
              <w:t>版）、《陕西省建设工程费用规则》（</w:t>
            </w:r>
            <w:r>
              <w:rPr>
                <w:rFonts w:ascii="仿宋_GB2312" w:hAnsi="仿宋_GB2312" w:cs="仿宋_GB2312" w:eastAsia="仿宋_GB2312"/>
                <w:sz w:val="21"/>
              </w:rPr>
              <w:t>2025</w:t>
            </w:r>
            <w:r>
              <w:rPr>
                <w:rFonts w:ascii="仿宋_GB2312" w:hAnsi="仿宋_GB2312" w:cs="仿宋_GB2312" w:eastAsia="仿宋_GB2312"/>
                <w:sz w:val="21"/>
              </w:rPr>
              <w:t>）。</w:t>
            </w:r>
          </w:p>
          <w:p>
            <w:pPr>
              <w:pStyle w:val="null3"/>
              <w:ind w:firstLine="422"/>
            </w:pPr>
            <w:r>
              <w:rPr>
                <w:rFonts w:ascii="仿宋_GB2312" w:hAnsi="仿宋_GB2312" w:cs="仿宋_GB2312" w:eastAsia="仿宋_GB2312"/>
                <w:sz w:val="21"/>
              </w:rPr>
              <w:t>3</w:t>
            </w:r>
            <w:r>
              <w:rPr>
                <w:rFonts w:ascii="仿宋_GB2312" w:hAnsi="仿宋_GB2312" w:cs="仿宋_GB2312" w:eastAsia="仿宋_GB2312"/>
                <w:sz w:val="21"/>
              </w:rPr>
              <w:t>、材料价格按照市场价计取。</w:t>
            </w:r>
          </w:p>
          <w:p>
            <w:pPr>
              <w:pStyle w:val="null3"/>
            </w:pPr>
            <w:r>
              <w:rPr>
                <w:rFonts w:ascii="仿宋_GB2312" w:hAnsi="仿宋_GB2312" w:cs="仿宋_GB2312" w:eastAsia="仿宋_GB2312"/>
                <w:sz w:val="21"/>
              </w:rPr>
              <w:t>三、有关问题说明：</w:t>
            </w:r>
          </w:p>
          <w:p>
            <w:pPr>
              <w:pStyle w:val="null3"/>
              <w:ind w:firstLine="422"/>
            </w:pPr>
            <w:r>
              <w:rPr>
                <w:rFonts w:ascii="仿宋_GB2312" w:hAnsi="仿宋_GB2312" w:cs="仿宋_GB2312" w:eastAsia="仿宋_GB2312"/>
                <w:sz w:val="21"/>
              </w:rPr>
              <w:t>1</w:t>
            </w:r>
            <w:r>
              <w:rPr>
                <w:rFonts w:ascii="仿宋_GB2312" w:hAnsi="仿宋_GB2312" w:cs="仿宋_GB2312" w:eastAsia="仿宋_GB2312"/>
                <w:sz w:val="21"/>
              </w:rPr>
              <w:t>、未考虑材料二次倒运及成品保护费用。</w:t>
            </w:r>
          </w:p>
          <w:p>
            <w:pPr>
              <w:pStyle w:val="null3"/>
              <w:ind w:firstLine="422"/>
              <w:jc w:val="both"/>
            </w:pPr>
            <w:r>
              <w:rPr>
                <w:rFonts w:ascii="仿宋_GB2312" w:hAnsi="仿宋_GB2312" w:cs="仿宋_GB2312" w:eastAsia="仿宋_GB2312"/>
                <w:sz w:val="21"/>
              </w:rPr>
              <w:t>2</w:t>
            </w:r>
            <w:r>
              <w:rPr>
                <w:rFonts w:ascii="仿宋_GB2312" w:hAnsi="仿宋_GB2312" w:cs="仿宋_GB2312" w:eastAsia="仿宋_GB2312"/>
                <w:sz w:val="21"/>
              </w:rPr>
              <w:t>、采用广联达云计价平台</w:t>
            </w:r>
            <w:r>
              <w:rPr>
                <w:rFonts w:ascii="仿宋_GB2312" w:hAnsi="仿宋_GB2312" w:cs="仿宋_GB2312" w:eastAsia="仿宋_GB2312"/>
                <w:sz w:val="21"/>
              </w:rPr>
              <w:t>7.0</w:t>
            </w:r>
            <w:r>
              <w:rPr>
                <w:rFonts w:ascii="仿宋_GB2312" w:hAnsi="仿宋_GB2312" w:cs="仿宋_GB2312" w:eastAsia="仿宋_GB2312"/>
                <w:sz w:val="21"/>
              </w:rPr>
              <w:t>编制，软件版本号</w:t>
            </w:r>
            <w:r>
              <w:rPr>
                <w:rFonts w:ascii="仿宋_GB2312" w:hAnsi="仿宋_GB2312" w:cs="仿宋_GB2312" w:eastAsia="仿宋_GB2312"/>
                <w:sz w:val="21"/>
              </w:rPr>
              <w:t>7.5000.23.1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本项目磋商总报价有二次报价环节，已标价的工程量清单计价表中的综合单价的二次报价，则需根据</w:t>
            </w:r>
            <w:r>
              <w:rPr>
                <w:rFonts w:ascii="仿宋_GB2312" w:hAnsi="仿宋_GB2312" w:cs="仿宋_GB2312" w:eastAsia="仿宋_GB2312"/>
                <w:sz w:val="21"/>
                <w:b/>
              </w:rPr>
              <w:t>磋商</w:t>
            </w:r>
            <w:r>
              <w:rPr>
                <w:rFonts w:ascii="仿宋_GB2312" w:hAnsi="仿宋_GB2312" w:cs="仿宋_GB2312" w:eastAsia="仿宋_GB2312"/>
                <w:sz w:val="21"/>
                <w:b/>
              </w:rPr>
              <w:t>总报价的二次报价下浮比例，同比例下调，下调后的综合单价作为合同执行过程中结算时的最终单价。（例如：一次</w:t>
            </w:r>
            <w:r>
              <w:rPr>
                <w:rFonts w:ascii="仿宋_GB2312" w:hAnsi="仿宋_GB2312" w:cs="仿宋_GB2312" w:eastAsia="仿宋_GB2312"/>
                <w:sz w:val="21"/>
                <w:b/>
              </w:rPr>
              <w:t>磋商</w:t>
            </w:r>
            <w:r>
              <w:rPr>
                <w:rFonts w:ascii="仿宋_GB2312" w:hAnsi="仿宋_GB2312" w:cs="仿宋_GB2312" w:eastAsia="仿宋_GB2312"/>
                <w:sz w:val="21"/>
                <w:b/>
              </w:rPr>
              <w:t>总报价为</w:t>
            </w:r>
            <w:r>
              <w:rPr>
                <w:rFonts w:ascii="仿宋_GB2312" w:hAnsi="仿宋_GB2312" w:cs="仿宋_GB2312" w:eastAsia="仿宋_GB2312"/>
                <w:sz w:val="21"/>
                <w:b/>
              </w:rPr>
              <w:t>100</w:t>
            </w:r>
            <w:r>
              <w:rPr>
                <w:rFonts w:ascii="仿宋_GB2312" w:hAnsi="仿宋_GB2312" w:cs="仿宋_GB2312" w:eastAsia="仿宋_GB2312"/>
                <w:sz w:val="21"/>
                <w:b/>
              </w:rPr>
              <w:t>万元，二次</w:t>
            </w:r>
            <w:r>
              <w:rPr>
                <w:rFonts w:ascii="仿宋_GB2312" w:hAnsi="仿宋_GB2312" w:cs="仿宋_GB2312" w:eastAsia="仿宋_GB2312"/>
                <w:sz w:val="21"/>
                <w:b/>
              </w:rPr>
              <w:t>磋商</w:t>
            </w:r>
            <w:r>
              <w:rPr>
                <w:rFonts w:ascii="仿宋_GB2312" w:hAnsi="仿宋_GB2312" w:cs="仿宋_GB2312" w:eastAsia="仿宋_GB2312"/>
                <w:sz w:val="21"/>
                <w:b/>
              </w:rPr>
              <w:t>总报价为</w:t>
            </w:r>
            <w:r>
              <w:rPr>
                <w:rFonts w:ascii="仿宋_GB2312" w:hAnsi="仿宋_GB2312" w:cs="仿宋_GB2312" w:eastAsia="仿宋_GB2312"/>
                <w:sz w:val="21"/>
                <w:b/>
              </w:rPr>
              <w:t>90</w:t>
            </w:r>
            <w:r>
              <w:rPr>
                <w:rFonts w:ascii="仿宋_GB2312" w:hAnsi="仿宋_GB2312" w:cs="仿宋_GB2312" w:eastAsia="仿宋_GB2312"/>
                <w:sz w:val="21"/>
                <w:b/>
              </w:rPr>
              <w:t>万元，则下浮比例为</w:t>
            </w:r>
            <w:r>
              <w:rPr>
                <w:rFonts w:ascii="仿宋_GB2312" w:hAnsi="仿宋_GB2312" w:cs="仿宋_GB2312" w:eastAsia="仿宋_GB2312"/>
                <w:sz w:val="21"/>
                <w:b/>
              </w:rPr>
              <w:t>10%,</w:t>
            </w:r>
            <w:r>
              <w:rPr>
                <w:rFonts w:ascii="仿宋_GB2312" w:hAnsi="仿宋_GB2312" w:cs="仿宋_GB2312" w:eastAsia="仿宋_GB2312"/>
                <w:sz w:val="21"/>
                <w:b/>
              </w:rPr>
              <w:t>则二次已标价工程量清单计价表中的综合单价</w:t>
            </w:r>
            <w:r>
              <w:rPr>
                <w:rFonts w:ascii="仿宋_GB2312" w:hAnsi="仿宋_GB2312" w:cs="仿宋_GB2312" w:eastAsia="仿宋_GB2312"/>
                <w:sz w:val="21"/>
                <w:b/>
              </w:rPr>
              <w:t>=</w:t>
            </w:r>
            <w:r>
              <w:rPr>
                <w:rFonts w:ascii="仿宋_GB2312" w:hAnsi="仿宋_GB2312" w:cs="仿宋_GB2312" w:eastAsia="仿宋_GB2312"/>
                <w:sz w:val="21"/>
                <w:b/>
              </w:rPr>
              <w:t>一次已标价工程量清单计价表中的综合单价</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b/>
              </w:rPr>
              <w:t>1-10%</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付款方式：</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）合同签订后设备进场，项目具备施工条件后支付至合同总价的</w:t>
            </w:r>
            <w:r>
              <w:rPr>
                <w:rFonts w:ascii="仿宋_GB2312" w:hAnsi="仿宋_GB2312" w:cs="仿宋_GB2312" w:eastAsia="仿宋_GB2312"/>
                <w:sz w:val="21"/>
              </w:rPr>
              <w:t>40%</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）竣工验收合格后支付至合同总价的</w:t>
            </w:r>
            <w:r>
              <w:rPr>
                <w:rFonts w:ascii="仿宋_GB2312" w:hAnsi="仿宋_GB2312" w:cs="仿宋_GB2312" w:eastAsia="仿宋_GB2312"/>
                <w:sz w:val="21"/>
              </w:rPr>
              <w:t>80%</w:t>
            </w:r>
          </w:p>
          <w:p>
            <w:pPr>
              <w:pStyle w:val="null3"/>
              <w:ind w:firstLine="21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）经终审单位结算审计完毕后支付至结算价的</w:t>
            </w:r>
            <w:r>
              <w:rPr>
                <w:rFonts w:ascii="仿宋_GB2312" w:hAnsi="仿宋_GB2312" w:cs="仿宋_GB2312" w:eastAsia="仿宋_GB2312"/>
                <w:sz w:val="21"/>
              </w:rPr>
              <w:t>100%</w:t>
            </w:r>
          </w:p>
          <w:p>
            <w:pPr>
              <w:pStyle w:val="null3"/>
              <w:jc w:val="both"/>
            </w:pPr>
            <w:r>
              <w:rPr>
                <w:rFonts w:ascii="仿宋_GB2312" w:hAnsi="仿宋_GB2312" w:cs="仿宋_GB2312" w:eastAsia="仿宋_GB2312"/>
                <w:sz w:val="21"/>
              </w:rPr>
              <w:t>注：因新增项目或其它特殊情况产生额外费用，招标人、监理方与中标人办理签证，最终据实结算。</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工期：2025年11月30日前完工</w:t>
            </w:r>
          </w:p>
          <w:p>
            <w:pPr>
              <w:pStyle w:val="null3"/>
            </w:pPr>
            <w:r>
              <w:rPr>
                <w:rFonts w:ascii="仿宋_GB2312" w:hAnsi="仿宋_GB2312" w:cs="仿宋_GB2312" w:eastAsia="仿宋_GB2312"/>
                <w:sz w:val="21"/>
                <w:b/>
              </w:rPr>
              <w:t>3.</w:t>
            </w:r>
            <w:r>
              <w:rPr>
                <w:rFonts w:ascii="仿宋_GB2312" w:hAnsi="仿宋_GB2312" w:cs="仿宋_GB2312" w:eastAsia="仿宋_GB2312"/>
                <w:sz w:val="21"/>
                <w:b/>
              </w:rPr>
              <w:t>工程质量：达到国家现行施工验收规范“合格”标准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符合《绿色建筑和绿色建材政府采购需求标准》《建筑工程施工质量验收统一标准》GB50300-2013等相关国家及行业标准，质量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详见合同条款及工程量清单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小企业划分标准：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2、采购项目需要落实的政府采购政策：1）《国务院办公厅关于建立政府强制采购节能产品制度的通知》（国办发〔2007〕51号）；2）《财政部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为顺利推进政府采购电子化交易平台应用工作，供应商需要在线提交所有通过电子化交易平台实施的政府采购项目的投标文件，同时，线下提交纸质投标文件正本一份、副本一份、电子版一份（U盘壹份，电子版文件需为上传至系统后签字盖章的PDF版文件），具体要求详见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三、资格审查.docx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三、资格审查.docx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财务状况：供应商提供2024年度经审计的财务审计报告（事业法人可提供部门决算报告）；或提供供应商基本账户银行出具的资信证明；或提供政府采购专业担保机构出具的投标担保函；或提供《基本资格条件承诺函》；供应商需在项目电子化交易系统中按要求上传相应证明文件</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具有履行合同所必需的设备和专业技术能力书面声明函：或提供《基本资格条件承诺函》；供应商需在项目电子化交易系统中按要求上传相应证明文件并进行电子签章；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响应文件递交截止时间后的网站查询记录为准；</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供应商须具有建筑工程施工总承包三级及以上资质</w:t>
            </w:r>
          </w:p>
        </w:tc>
        <w:tc>
          <w:tcPr>
            <w:tcW w:type="dxa" w:w="3322"/>
          </w:tcPr>
          <w:p>
            <w:pPr>
              <w:pStyle w:val="null3"/>
            </w:pPr>
            <w:r>
              <w:rPr>
                <w:rFonts w:ascii="仿宋_GB2312" w:hAnsi="仿宋_GB2312" w:cs="仿宋_GB2312" w:eastAsia="仿宋_GB2312"/>
              </w:rPr>
              <w:t>供应商须具有建筑工程施工总承包三级及以上资质：供应商需在项目电子化交易系统中按要求上传相应证明文件并进行电子签章；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供应商拟派项目负责人具有建筑工程专业二级及以上注册建造师证书，并在本单位注册及安全生产考核合格证书,且无在建</w:t>
            </w:r>
          </w:p>
        </w:tc>
        <w:tc>
          <w:tcPr>
            <w:tcW w:type="dxa" w:w="3322"/>
          </w:tcPr>
          <w:p>
            <w:pPr>
              <w:pStyle w:val="null3"/>
            </w:pPr>
            <w:r>
              <w:rPr>
                <w:rFonts w:ascii="仿宋_GB2312" w:hAnsi="仿宋_GB2312" w:cs="仿宋_GB2312" w:eastAsia="仿宋_GB2312"/>
              </w:rPr>
              <w:t>供应商拟派项目负责人具有建筑工程专业二级及以上注册建造师证书，并在本单位注册及安全生产考核合格证书,且无在建：供应商需在项目电子化交易系统中按要求上传相应证明文件并进行电子签章；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供应商须具有安全生产许可证</w:t>
            </w:r>
          </w:p>
        </w:tc>
        <w:tc>
          <w:tcPr>
            <w:tcW w:type="dxa" w:w="3322"/>
          </w:tcPr>
          <w:p>
            <w:pPr>
              <w:pStyle w:val="null3"/>
            </w:pPr>
            <w:r>
              <w:rPr>
                <w:rFonts w:ascii="仿宋_GB2312" w:hAnsi="仿宋_GB2312" w:cs="仿宋_GB2312" w:eastAsia="仿宋_GB2312"/>
              </w:rPr>
              <w:t>供应商须具有安全生产许可证：供应商需在项目电子化交易系统中按要求上传相应证明文件并进行电子签章；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一、磋商响应函.docx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满足竞争性磋商文件的报价要求，不得高于最高限价</w:t>
            </w:r>
          </w:p>
        </w:tc>
        <w:tc>
          <w:tcPr>
            <w:tcW w:type="dxa" w:w="1661"/>
          </w:tcPr>
          <w:p>
            <w:pPr>
              <w:pStyle w:val="null3"/>
            </w:pPr>
            <w:r>
              <w:rPr>
                <w:rFonts w:ascii="仿宋_GB2312" w:hAnsi="仿宋_GB2312" w:cs="仿宋_GB2312" w:eastAsia="仿宋_GB2312"/>
              </w:rPr>
              <w:t>响应文件封面 已标价工程量清单 一、磋商响应函.docx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一、磋商响应函.docx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需签字处按磋商文件要求签字，需盖章处按磋商文件要求盖章。</w:t>
            </w:r>
          </w:p>
        </w:tc>
        <w:tc>
          <w:tcPr>
            <w:tcW w:type="dxa" w:w="1661"/>
          </w:tcPr>
          <w:p>
            <w:pPr>
              <w:pStyle w:val="null3"/>
            </w:pPr>
            <w:r>
              <w:rPr>
                <w:rFonts w:ascii="仿宋_GB2312" w:hAnsi="仿宋_GB2312" w:cs="仿宋_GB2312" w:eastAsia="仿宋_GB2312"/>
              </w:rPr>
              <w:t>响应文件封面 五、其他资料.docx 已标价工程量清单 二、法定代表人身份证明及授权委托书.docx 一、磋商响应函.docx 报价函 三、资格审查.docx 标的清单 响应函 四、施工组织设计.docx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一、磋商响应函.docx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一、磋商响应函.docx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单位负责人）参加的，须提供法定代表人（单位负责人）身份证明（附法定代表人（单位负责人）身份证复印件）；法定代表人（单位负责人）授权他人参加的，须提供法定代表人（单位负责人）委托授权书（附法定代表人（单位负责人）、被授权人身份证复印件、被授权人社保缴纳证明）；</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二、法定代表人身份证明及授权委托书.docx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五、其他资料.docx 已标价工程量清单 二、法定代表人身份证明及授权委托书.docx 一、磋商响应函.docx 报价函 三、资格审查.docx 标的清单 响应函 四、施工组织设计.docx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项目经理和项目部组成人员充足，职责明确，组织结构科学合理、完全满足项目需求得10分； 项目经理和项目部组成人员较充足，职责明确较为明确，组织结构较科学合理、较能满足项目需求得8分； 项目经理和项目部组成人员较少，职责基本明确，组织结构基本科学、基本满足项目需求得5分； 项目经理和项目部组成人员少，职责混乱、组织结构欠合理得2分；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施工方案、方法与技术措施科学、合理、可行得10分； 施工方案、方法与技术措施较科学、较合理、较可行得8分； 施工方案、方法与技术措施基本合理可行得5分； 施工方案、方法与技术措施欠合理得2分；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总体施工组织布置及规划科学、合理、可行得6分； 总体施工组织布置及规划较科学、较合理、较可行得4分； 总体施工组织布置及规划欠合理，得2分；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项目质量保证体系及措施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质量保证体系及措施科学、合理、可行得6分； 质量保证体系及措施较科学、较合理、较可行得4分； 质量保证体系及措施欠合理，较难实施，得2分；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项目安全保证措施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安全保证措施科学、合理、可行得6分； 安全保证措施较科学、较合理、较可行得4分； 安全保证措施欠合理、较难实施，得2分；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项目进度计划和工期目标科学、合理、可行得6分； 项目进度计划和工期目标科学、合理性一般、可行性一般得4分； 项目进度计划和工期欠合理、较难实施，得2分；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项目风险预测与防范，事故应急预案科学、合理、可行得6分； 项目风险预测与防范，事故应急预案较科学、较合理、较可行得4分； 项目风险预测与防范，事故应急预案欠合理、较难实施，得2分；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拟投入本项目主要机具、设备和劳动力配置情况，评标委员会可根据拟投入本项目设备情况自主打分。 拟投入的主要机具、设备和劳动力充分、能满足项目需要得5分； 拟投入的主要机具、设备和劳动力较充分、基本满足项目需要得3分； 拟投入的主要机具、设备和劳动力不充分，得1分；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采用新技术、新工艺对提高工程质量、缩短工期、降低造价的可行性</w:t>
            </w:r>
          </w:p>
        </w:tc>
        <w:tc>
          <w:tcPr>
            <w:tcW w:type="dxa" w:w="2492"/>
          </w:tcPr>
          <w:p>
            <w:pPr>
              <w:pStyle w:val="null3"/>
            </w:pPr>
            <w:r>
              <w:rPr>
                <w:rFonts w:ascii="仿宋_GB2312" w:hAnsi="仿宋_GB2312" w:cs="仿宋_GB2312" w:eastAsia="仿宋_GB2312"/>
              </w:rPr>
              <w:t>采用新技术、新工艺对提高工程质量、缩短工期、降低造价的可行性自主打分。 采用新技术、新工艺对提高工程质量、缩短工期、降低造价的可行性描述完备，可行性高的得5分； 采用新技术、新工艺对提高工程质量、缩短工期、降低造价的可行性描述基本合理，可行性基本可行的得3分； 采用新技术、新工艺对提高工程质量、缩短工期、降低造价的可行性描述粗劣，脱离实际，得1分；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质量保修承诺完整、科学、合理、可行得5分； 质量保修承诺较完整、较科学、较合理、较可行得3分； 质量保修承诺不完整全面，得1分；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后续服务措施承诺具体、详细、可行得5分； 后续服务措施承诺较具体、较详细、较可行得3分； 后续服务措施承诺不具体、不详细，得1分；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扬尘治理措施承诺</w:t>
            </w:r>
          </w:p>
        </w:tc>
        <w:tc>
          <w:tcPr>
            <w:tcW w:type="dxa" w:w="2492"/>
          </w:tcPr>
          <w:p>
            <w:pPr>
              <w:pStyle w:val="null3"/>
            </w:pPr>
            <w:r>
              <w:rPr>
                <w:rFonts w:ascii="仿宋_GB2312" w:hAnsi="仿宋_GB2312" w:cs="仿宋_GB2312" w:eastAsia="仿宋_GB2312"/>
              </w:rPr>
              <w:t>扬尘治理措施承诺具体、详细、可行得5分； 扬尘治理措施承诺较具体、较详细、较可行得3分； 扬尘治理措施承诺不具体、不详细，得1分；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2020年1月1日以来承接过类似项目的合同证明（以合同的签订日期为准）（每提供一个得2分，满分10分）（合同内容须清晰可辨认，无涂改，否则视为无效合同）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四、施工组织设计.docx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参与详细评审且价格最低的最终磋商报价作为磋商基准价，其价格分为15分。其他供应商的价格分按照下列公式计算： 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详见附件：二、法定代表人身份证明及授权委托书.docx</w:t>
      </w:r>
    </w:p>
    <w:p>
      <w:pPr>
        <w:pStyle w:val="null3"/>
        <w:ind w:firstLine="960"/>
      </w:pPr>
      <w:r>
        <w:rPr>
          <w:rFonts w:ascii="仿宋_GB2312" w:hAnsi="仿宋_GB2312" w:cs="仿宋_GB2312" w:eastAsia="仿宋_GB2312"/>
        </w:rPr>
        <w:t>详见附件：三、资格审查.docx</w:t>
      </w:r>
    </w:p>
    <w:p>
      <w:pPr>
        <w:pStyle w:val="null3"/>
        <w:ind w:firstLine="960"/>
      </w:pPr>
      <w:r>
        <w:rPr>
          <w:rFonts w:ascii="仿宋_GB2312" w:hAnsi="仿宋_GB2312" w:cs="仿宋_GB2312" w:eastAsia="仿宋_GB2312"/>
        </w:rPr>
        <w:t>详见附件：四、施工组织设计.docx</w:t>
      </w:r>
    </w:p>
    <w:p>
      <w:pPr>
        <w:pStyle w:val="null3"/>
        <w:ind w:firstLine="960"/>
      </w:pPr>
      <w:r>
        <w:rPr>
          <w:rFonts w:ascii="仿宋_GB2312" w:hAnsi="仿宋_GB2312" w:cs="仿宋_GB2312" w:eastAsia="仿宋_GB2312"/>
        </w:rPr>
        <w:t>详见附件：五、其他资料.docx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