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版本号：SXZM-CS-202503720251011001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秦渡街道宝鸡至西安南750千伏线路拆迁选留问题拆除及垃圾清运工程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SXZM-CS-2025037</w:t>
      </w:r>
      <w:r>
        <w:br/>
      </w:r>
      <w:r>
        <w:br/>
      </w:r>
      <w:r>
        <w:br/>
      </w:r>
    </w:p>
    <w:p>
      <w:pPr>
        <w:pStyle w:val="null3"/>
        <w:jc w:val="center"/>
        <w:outlineLvl w:val="2"/>
      </w:pPr>
      <w:r>
        <w:rPr>
          <w:rFonts w:ascii="仿宋_GB2312" w:hAnsi="仿宋_GB2312" w:cs="仿宋_GB2312" w:eastAsia="仿宋_GB2312"/>
          <w:sz w:val="28"/>
          <w:b/>
        </w:rPr>
        <w:t>西安市鄠邑区秦渡街道办事处</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西安市鄠邑区秦渡街道办事处</w:t>
      </w:r>
      <w:r>
        <w:rPr>
          <w:rFonts w:ascii="仿宋_GB2312" w:hAnsi="仿宋_GB2312" w:cs="仿宋_GB2312" w:eastAsia="仿宋_GB2312"/>
        </w:rPr>
        <w:t>委托，拟对</w:t>
      </w:r>
      <w:r>
        <w:rPr>
          <w:rFonts w:ascii="仿宋_GB2312" w:hAnsi="仿宋_GB2312" w:cs="仿宋_GB2312" w:eastAsia="仿宋_GB2312"/>
        </w:rPr>
        <w:t>秦渡街道宝鸡至西安南750千伏线路拆迁选留问题拆除及垃圾清运工程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SXZM-CS-2025037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秦渡街道宝鸡至西安南750千伏线路拆迁选留问题拆除及垃圾清运工程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1、项目名称：秦渡街道宝鸡至西安南750千伏线路拆迁选留问题拆除及垃圾清运工程。 2、项目主要内容：宝鸡至西安南750千伏线路范围内遗留民房拆除、硬化地面拆除、清表、垃圾清运、复垦等。该项目划分为建筑物拆除，复垦。 建筑物拆除所需砖混结构房屋拆除面积预估约为6024.38M2，水泥路拆除面积预估约为624.19M2，围墙拆除面积预估约为76.32M2，清表面积预估约为8280.09M2，垃圾清运估算约为6251.97M3；复垦所需垃圾清运估算约为8280.09M3，外购土方估算约为8280.09M3，整平估算约为8280.09M2。 3、单价最高限价：建筑物拆除：①砖混结构房屋拆除：1.25元/M2；②水泥路拆除：17.00元/M2；③围墙拆除：3.00元/M2；④清表：5.06元/M2；⑤垃圾清运：118.00元/M3；复垦：①垃圾清运：118.00元/M3；②外购土方：25.00元/M3；③整平：10.00元/M2。</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采购包1（秦渡街道宝鸡至西安南750千伏线路拆迁选留问题拆除及垃圾清运工程）：属于专门面向中小企业采购。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1、营业执照等主体资格证明文件：营业执照等主体资格证明文件：提供有效存续的企业营业执照（副本）/事业单位法人证书/专业服务机构执业许可证/民办非企业单位登记证书/自然人身份证明；</w:t>
      </w:r>
    </w:p>
    <w:p>
      <w:pPr>
        <w:pStyle w:val="null3"/>
      </w:pPr>
      <w:r>
        <w:rPr>
          <w:rFonts w:ascii="仿宋_GB2312" w:hAnsi="仿宋_GB2312" w:cs="仿宋_GB2312" w:eastAsia="仿宋_GB2312"/>
        </w:rPr>
        <w:t>2、基本资格条件：提供《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六章竞争性磋商响应文件格式。不提供《基本资格条件承诺函》的供应商需提交如下资格证明文件： 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 ②提供具有履行合同所必需的设备和专业技术能力的承诺； ③提供开标时间前6个月内任意时段的纳税证明或完税证明（除印花税外任意税种），纳税证明或完税证明上应有代收机构或税务机关的公章或业务专用章。依法免税的供应商应提供相关文件证明； ④提供开标时间前6个月内任意时段的社会保障资金缴存单据或社保机构开具的社会保险参保缴费情况证明，依法不需要缴纳社会保障资金的单位应提供相关证明材料； ⑤参加政府采购活动前3年内，在经营活动中没有重大违法记录的书面声明。</w:t>
      </w:r>
    </w:p>
    <w:p>
      <w:pPr>
        <w:pStyle w:val="null3"/>
      </w:pPr>
      <w:r>
        <w:rPr>
          <w:rFonts w:ascii="仿宋_GB2312" w:hAnsi="仿宋_GB2312" w:cs="仿宋_GB2312" w:eastAsia="仿宋_GB2312"/>
        </w:rPr>
        <w:t>3、落实政府采购政策需满足的资格要求：本项目专门面向中小企业采购，供应商应为中小微企业或监狱企业或残疾人福利性单位。</w:t>
      </w:r>
    </w:p>
    <w:p>
      <w:pPr>
        <w:pStyle w:val="null3"/>
      </w:pPr>
      <w:r>
        <w:rPr>
          <w:rFonts w:ascii="仿宋_GB2312" w:hAnsi="仿宋_GB2312" w:cs="仿宋_GB2312" w:eastAsia="仿宋_GB2312"/>
        </w:rPr>
        <w:t>4、法定代表人（或负责人）身份证明/法定代表人（或负责人）授权委托书：法定代表人（或负责人）身份证明/法定代表人（或负责人）授权委托书：法定代表人（或负责人）直接参加投标的，须提供法定代表人（或负责人）身份证明及其身份证电子件或扫描件；法定代表人（或负责人）授权他人参加投标的，须提供法定代表人（或负责人）授权委托书（附法定代表人（或负责人）、被授权人身份证电子件或扫描件）。</w:t>
      </w:r>
    </w:p>
    <w:p>
      <w:pPr>
        <w:pStyle w:val="null3"/>
      </w:pPr>
      <w:r>
        <w:rPr>
          <w:rFonts w:ascii="仿宋_GB2312" w:hAnsi="仿宋_GB2312" w:cs="仿宋_GB2312" w:eastAsia="仿宋_GB2312"/>
        </w:rPr>
        <w:t>5、信用记录：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6、特定资格条件：供应商具备建设行政主管部门颁发的建筑工程施工总承包三级（含）及以上资质，且具有有效的安全生产许可证。</w:t>
      </w:r>
    </w:p>
    <w:p>
      <w:pPr>
        <w:pStyle w:val="null3"/>
      </w:pPr>
      <w:r>
        <w:rPr>
          <w:rFonts w:ascii="仿宋_GB2312" w:hAnsi="仿宋_GB2312" w:cs="仿宋_GB2312" w:eastAsia="仿宋_GB2312"/>
        </w:rPr>
        <w:t>7、基本信息要求：供应商资质基本信息应在“陕西省住房和城乡建设厅网（http://js.shaanxi.gov.cn/）”可查询；</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9、供应商书面声明：供应商未为本项目提供整体设计、规范编制或者项目管理、监理、检测等服务的书面声明。</w:t>
      </w:r>
    </w:p>
    <w:p>
      <w:pPr>
        <w:pStyle w:val="null3"/>
      </w:pPr>
      <w:r>
        <w:rPr>
          <w:rFonts w:ascii="仿宋_GB2312" w:hAnsi="仿宋_GB2312" w:cs="仿宋_GB2312" w:eastAsia="仿宋_GB2312"/>
        </w:rPr>
        <w:t>10、供应商参与磋商的承诺函：符合竞争性磋商文件要求。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西安市鄠邑区秦渡街道办事处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陕西省西安市鄠邑区秦渡街道长安大街1号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029-84945080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刘晨星、樊睿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029-88855325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采购包1：2,064,854.15元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[2002]1980号）和国家发展和改革委员会办公厅颁发的《关于招标代理服务收费有关问题的通知》（发改办价格[2003]857号）的有关规定标准收取。 招标代理服务费账户信息： 户名：陕西正明项目管理有限公司 开户行：中国民生银行股份有限公司枫林绿洲支行 帐号：170455461 招标代理服务费按约定由成交供应商支付，成交供应商在领取成交通知书前，须向采购代理机构支付招标代理服务费。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西安市鄠邑区秦渡街道办事处</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西安市鄠邑区秦渡街道办事处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西安市鄠邑区秦渡街道办事处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按竞争性磋商文件、响应文件及合同文本执行。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联系人：刘晨星、樊睿</w:t>
      </w:r>
    </w:p>
    <w:p>
      <w:pPr>
        <w:pStyle w:val="null3"/>
      </w:pPr>
      <w:r>
        <w:rPr>
          <w:rFonts w:ascii="仿宋_GB2312" w:hAnsi="仿宋_GB2312" w:cs="仿宋_GB2312" w:eastAsia="仿宋_GB2312"/>
        </w:rPr>
        <w:t>联系电话：029-88855325</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2,064,854.15</w:t>
      </w:r>
    </w:p>
    <w:p>
      <w:pPr>
        <w:pStyle w:val="null3"/>
      </w:pPr>
      <w:r>
        <w:rPr>
          <w:rFonts w:ascii="仿宋_GB2312" w:hAnsi="仿宋_GB2312" w:cs="仿宋_GB2312" w:eastAsia="仿宋_GB2312"/>
        </w:rPr>
        <w:t>采购包最高限价（元）: 2,064,854.15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秦渡街道宝鸡至西安南750千伏线路拆迁选留问题拆除及垃圾清运工程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2,064,854.15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标的名称：秦渡街道宝鸡至西安南750千伏线路拆迁选留问题拆除及垃圾清运工程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 xml:space="preserve">    1、项目名称：宝鸡至西安南750千伏线路拆迁遗留问题拆除及垃圾清运工程</w:t>
            </w:r>
          </w:p>
          <w:p>
            <w:pPr>
              <w:pStyle w:val="null3"/>
              <w:ind w:firstLine="640"/>
              <w:jc w:val="both"/>
            </w:pPr>
            <w:r>
              <w:rPr>
                <w:rFonts w:ascii="仿宋_GB2312" w:hAnsi="仿宋_GB2312" w:cs="仿宋_GB2312" w:eastAsia="仿宋_GB2312"/>
                <w:sz w:val="21"/>
              </w:rPr>
              <w:t>2、项目地点：秦渡街道中牛村。</w:t>
            </w:r>
          </w:p>
          <w:p>
            <w:pPr>
              <w:pStyle w:val="null3"/>
              <w:ind w:firstLine="640"/>
              <w:jc w:val="both"/>
            </w:pPr>
            <w:r>
              <w:rPr>
                <w:rFonts w:ascii="仿宋_GB2312" w:hAnsi="仿宋_GB2312" w:cs="仿宋_GB2312" w:eastAsia="仿宋_GB2312"/>
                <w:sz w:val="21"/>
              </w:rPr>
              <w:t>3、项目主要内容：宝鸡至西安南750千伏线路范围内遗留民房拆除、硬化地面拆除、清表、垃圾清运、复垦等</w:t>
            </w:r>
            <w:r>
              <w:rPr>
                <w:rFonts w:ascii="仿宋_GB2312" w:hAnsi="仿宋_GB2312" w:cs="仿宋_GB2312" w:eastAsia="仿宋_GB2312"/>
              </w:rPr>
              <w:t>。</w:t>
            </w:r>
            <w:r>
              <w:rPr>
                <w:rFonts w:ascii="仿宋_GB2312" w:hAnsi="仿宋_GB2312" w:cs="仿宋_GB2312" w:eastAsia="仿宋_GB2312"/>
                <w:sz w:val="21"/>
              </w:rPr>
              <w:t>该项目划分为建筑物拆除，复垦。建筑物拆除所需砖混结构房屋拆除面积预估约为6024.38M</w:t>
            </w:r>
            <w:r>
              <w:rPr>
                <w:rFonts w:ascii="仿宋_GB2312" w:hAnsi="仿宋_GB2312" w:cs="仿宋_GB2312" w:eastAsia="仿宋_GB2312"/>
                <w:vertAlign w:val="superscript"/>
              </w:rPr>
              <w:t>2</w:t>
            </w:r>
            <w:r>
              <w:rPr>
                <w:rFonts w:ascii="仿宋_GB2312" w:hAnsi="仿宋_GB2312" w:cs="仿宋_GB2312" w:eastAsia="仿宋_GB2312"/>
                <w:sz w:val="21"/>
              </w:rPr>
              <w:t>，水泥路拆除面积预估约为624.19M</w:t>
            </w:r>
            <w:r>
              <w:rPr>
                <w:rFonts w:ascii="仿宋_GB2312" w:hAnsi="仿宋_GB2312" w:cs="仿宋_GB2312" w:eastAsia="仿宋_GB2312"/>
                <w:vertAlign w:val="superscript"/>
              </w:rPr>
              <w:t>2</w:t>
            </w:r>
            <w:r>
              <w:rPr>
                <w:rFonts w:ascii="仿宋_GB2312" w:hAnsi="仿宋_GB2312" w:cs="仿宋_GB2312" w:eastAsia="仿宋_GB2312"/>
                <w:sz w:val="21"/>
              </w:rPr>
              <w:t>，围墙拆除面积预估约为76.32M</w:t>
            </w:r>
            <w:r>
              <w:rPr>
                <w:rFonts w:ascii="仿宋_GB2312" w:hAnsi="仿宋_GB2312" w:cs="仿宋_GB2312" w:eastAsia="仿宋_GB2312"/>
                <w:vertAlign w:val="superscript"/>
              </w:rPr>
              <w:t>2</w:t>
            </w:r>
            <w:r>
              <w:rPr>
                <w:rFonts w:ascii="仿宋_GB2312" w:hAnsi="仿宋_GB2312" w:cs="仿宋_GB2312" w:eastAsia="仿宋_GB2312"/>
                <w:sz w:val="21"/>
              </w:rPr>
              <w:t>，清表面积预估约为8280.09M</w:t>
            </w:r>
            <w:r>
              <w:rPr>
                <w:rFonts w:ascii="仿宋_GB2312" w:hAnsi="仿宋_GB2312" w:cs="仿宋_GB2312" w:eastAsia="仿宋_GB2312"/>
                <w:vertAlign w:val="superscript"/>
              </w:rPr>
              <w:t>2</w:t>
            </w:r>
            <w:r>
              <w:rPr>
                <w:rFonts w:ascii="仿宋_GB2312" w:hAnsi="仿宋_GB2312" w:cs="仿宋_GB2312" w:eastAsia="仿宋_GB2312"/>
                <w:sz w:val="21"/>
              </w:rPr>
              <w:t>，垃圾清运估算约为6251.97M</w:t>
            </w:r>
            <w:r>
              <w:rPr>
                <w:rFonts w:ascii="仿宋_GB2312" w:hAnsi="仿宋_GB2312" w:cs="仿宋_GB2312" w:eastAsia="仿宋_GB2312"/>
                <w:vertAlign w:val="superscript"/>
              </w:rPr>
              <w:t>3</w:t>
            </w:r>
            <w:r>
              <w:rPr>
                <w:rFonts w:ascii="仿宋_GB2312" w:hAnsi="仿宋_GB2312" w:cs="仿宋_GB2312" w:eastAsia="仿宋_GB2312"/>
                <w:sz w:val="21"/>
              </w:rPr>
              <w:t>；复垦所需垃圾清运</w:t>
            </w:r>
            <w:r>
              <w:rPr>
                <w:rFonts w:ascii="仿宋_GB2312" w:hAnsi="仿宋_GB2312" w:cs="仿宋_GB2312" w:eastAsia="仿宋_GB2312"/>
                <w:sz w:val="21"/>
              </w:rPr>
              <w:t>估算约为8280.09M</w:t>
            </w:r>
            <w:r>
              <w:rPr>
                <w:rFonts w:ascii="仿宋_GB2312" w:hAnsi="仿宋_GB2312" w:cs="仿宋_GB2312" w:eastAsia="仿宋_GB2312"/>
                <w:vertAlign w:val="superscript"/>
              </w:rPr>
              <w:t>3</w:t>
            </w:r>
            <w:r>
              <w:rPr>
                <w:rFonts w:ascii="仿宋_GB2312" w:hAnsi="仿宋_GB2312" w:cs="仿宋_GB2312" w:eastAsia="仿宋_GB2312"/>
                <w:sz w:val="21"/>
              </w:rPr>
              <w:t>，外购土方</w:t>
            </w:r>
            <w:r>
              <w:rPr>
                <w:rFonts w:ascii="仿宋_GB2312" w:hAnsi="仿宋_GB2312" w:cs="仿宋_GB2312" w:eastAsia="仿宋_GB2312"/>
                <w:sz w:val="21"/>
              </w:rPr>
              <w:t>估算约为8280.09M</w:t>
            </w:r>
            <w:r>
              <w:rPr>
                <w:rFonts w:ascii="仿宋_GB2312" w:hAnsi="仿宋_GB2312" w:cs="仿宋_GB2312" w:eastAsia="仿宋_GB2312"/>
                <w:vertAlign w:val="superscript"/>
              </w:rPr>
              <w:t>3</w:t>
            </w:r>
            <w:r>
              <w:rPr>
                <w:rFonts w:ascii="仿宋_GB2312" w:hAnsi="仿宋_GB2312" w:cs="仿宋_GB2312" w:eastAsia="仿宋_GB2312"/>
                <w:sz w:val="21"/>
              </w:rPr>
              <w:t>，整平</w:t>
            </w:r>
            <w:r>
              <w:rPr>
                <w:rFonts w:ascii="仿宋_GB2312" w:hAnsi="仿宋_GB2312" w:cs="仿宋_GB2312" w:eastAsia="仿宋_GB2312"/>
                <w:sz w:val="21"/>
              </w:rPr>
              <w:t>估算约为8280.09M</w:t>
            </w:r>
            <w:r>
              <w:rPr>
                <w:rFonts w:ascii="仿宋_GB2312" w:hAnsi="仿宋_GB2312" w:cs="仿宋_GB2312" w:eastAsia="仿宋_GB2312"/>
                <w:sz w:val="17"/>
                <w:vertAlign w:val="superscript"/>
              </w:rPr>
              <w:t>2</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4、单价最高限价：建筑物拆除：①砖混结构房屋拆除：1.25元/M</w:t>
            </w:r>
            <w:r>
              <w:rPr>
                <w:rFonts w:ascii="仿宋_GB2312" w:hAnsi="仿宋_GB2312" w:cs="仿宋_GB2312" w:eastAsia="仿宋_GB2312"/>
                <w:sz w:val="21"/>
                <w:vertAlign w:val="superscript"/>
              </w:rPr>
              <w:t>2</w:t>
            </w:r>
            <w:r>
              <w:rPr>
                <w:rFonts w:ascii="仿宋_GB2312" w:hAnsi="仿宋_GB2312" w:cs="仿宋_GB2312" w:eastAsia="仿宋_GB2312"/>
                <w:sz w:val="21"/>
              </w:rPr>
              <w:t>；②水泥路拆除：17.00元/M</w:t>
            </w:r>
            <w:r>
              <w:rPr>
                <w:rFonts w:ascii="仿宋_GB2312" w:hAnsi="仿宋_GB2312" w:cs="仿宋_GB2312" w:eastAsia="仿宋_GB2312"/>
                <w:sz w:val="21"/>
                <w:vertAlign w:val="superscript"/>
              </w:rPr>
              <w:t>2</w:t>
            </w:r>
            <w:r>
              <w:rPr>
                <w:rFonts w:ascii="仿宋_GB2312" w:hAnsi="仿宋_GB2312" w:cs="仿宋_GB2312" w:eastAsia="仿宋_GB2312"/>
                <w:sz w:val="21"/>
              </w:rPr>
              <w:t>；③围墙拆除：3.00元/M</w:t>
            </w:r>
            <w:r>
              <w:rPr>
                <w:rFonts w:ascii="仿宋_GB2312" w:hAnsi="仿宋_GB2312" w:cs="仿宋_GB2312" w:eastAsia="仿宋_GB2312"/>
                <w:sz w:val="21"/>
                <w:vertAlign w:val="superscript"/>
              </w:rPr>
              <w:t>2</w:t>
            </w:r>
            <w:r>
              <w:rPr>
                <w:rFonts w:ascii="仿宋_GB2312" w:hAnsi="仿宋_GB2312" w:cs="仿宋_GB2312" w:eastAsia="仿宋_GB2312"/>
                <w:sz w:val="21"/>
              </w:rPr>
              <w:t>；④清表：5.06元/M</w:t>
            </w:r>
            <w:r>
              <w:rPr>
                <w:rFonts w:ascii="仿宋_GB2312" w:hAnsi="仿宋_GB2312" w:cs="仿宋_GB2312" w:eastAsia="仿宋_GB2312"/>
                <w:sz w:val="21"/>
                <w:vertAlign w:val="superscript"/>
              </w:rPr>
              <w:t>2</w:t>
            </w:r>
            <w:r>
              <w:rPr>
                <w:rFonts w:ascii="仿宋_GB2312" w:hAnsi="仿宋_GB2312" w:cs="仿宋_GB2312" w:eastAsia="仿宋_GB2312"/>
                <w:sz w:val="21"/>
              </w:rPr>
              <w:t>；⑤垃圾清运：118.00元/M</w:t>
            </w:r>
            <w:r>
              <w:rPr>
                <w:rFonts w:ascii="仿宋_GB2312" w:hAnsi="仿宋_GB2312" w:cs="仿宋_GB2312" w:eastAsia="仿宋_GB2312"/>
                <w:sz w:val="21"/>
                <w:vertAlign w:val="superscript"/>
              </w:rPr>
              <w:t>3</w:t>
            </w:r>
            <w:r>
              <w:rPr>
                <w:rFonts w:ascii="仿宋_GB2312" w:hAnsi="仿宋_GB2312" w:cs="仿宋_GB2312" w:eastAsia="仿宋_GB2312"/>
                <w:sz w:val="21"/>
              </w:rPr>
              <w:t>；复垦：①垃圾清运：118.00元/M</w:t>
            </w:r>
            <w:r>
              <w:rPr>
                <w:rFonts w:ascii="仿宋_GB2312" w:hAnsi="仿宋_GB2312" w:cs="仿宋_GB2312" w:eastAsia="仿宋_GB2312"/>
                <w:sz w:val="21"/>
                <w:vertAlign w:val="superscript"/>
              </w:rPr>
              <w:t>3</w:t>
            </w:r>
            <w:r>
              <w:rPr>
                <w:rFonts w:ascii="仿宋_GB2312" w:hAnsi="仿宋_GB2312" w:cs="仿宋_GB2312" w:eastAsia="仿宋_GB2312"/>
                <w:sz w:val="21"/>
              </w:rPr>
              <w:t>；②外购土方：25.00元/M</w:t>
            </w:r>
            <w:r>
              <w:rPr>
                <w:rFonts w:ascii="仿宋_GB2312" w:hAnsi="仿宋_GB2312" w:cs="仿宋_GB2312" w:eastAsia="仿宋_GB2312"/>
                <w:sz w:val="21"/>
                <w:vertAlign w:val="superscript"/>
              </w:rPr>
              <w:t>3</w:t>
            </w:r>
            <w:r>
              <w:rPr>
                <w:rFonts w:ascii="仿宋_GB2312" w:hAnsi="仿宋_GB2312" w:cs="仿宋_GB2312" w:eastAsia="仿宋_GB2312"/>
                <w:sz w:val="21"/>
              </w:rPr>
              <w:t>；③整平：10.00元/M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二、项目要求</w:t>
            </w:r>
          </w:p>
          <w:p>
            <w:pPr>
              <w:pStyle w:val="null3"/>
              <w:ind w:firstLine="640"/>
              <w:jc w:val="both"/>
            </w:pPr>
            <w:r>
              <w:rPr>
                <w:rFonts w:ascii="仿宋_GB2312" w:hAnsi="仿宋_GB2312" w:cs="仿宋_GB2312" w:eastAsia="仿宋_GB2312"/>
                <w:sz w:val="21"/>
              </w:rPr>
              <w:t>（一）技术要求</w:t>
            </w:r>
          </w:p>
          <w:p>
            <w:pPr>
              <w:pStyle w:val="null3"/>
              <w:ind w:firstLine="640"/>
              <w:jc w:val="both"/>
            </w:pPr>
            <w:r>
              <w:rPr>
                <w:rFonts w:ascii="仿宋_GB2312" w:hAnsi="仿宋_GB2312" w:cs="仿宋_GB2312" w:eastAsia="仿宋_GB2312"/>
                <w:sz w:val="21"/>
              </w:rPr>
              <w:t>1、拆除施工必须湿法作业、机械拆除，同时，做好扬尘控制工作。</w:t>
            </w:r>
          </w:p>
          <w:p>
            <w:pPr>
              <w:pStyle w:val="null3"/>
              <w:ind w:firstLine="640"/>
              <w:jc w:val="both"/>
            </w:pPr>
            <w:r>
              <w:rPr>
                <w:rFonts w:ascii="仿宋_GB2312" w:hAnsi="仿宋_GB2312" w:cs="仿宋_GB2312" w:eastAsia="仿宋_GB2312"/>
                <w:sz w:val="21"/>
              </w:rPr>
              <w:t>2、拆除至现有地坪，完成场地平整。需满足项目用地要求，符合交地条件。</w:t>
            </w:r>
          </w:p>
          <w:p>
            <w:pPr>
              <w:pStyle w:val="null3"/>
              <w:ind w:firstLine="640"/>
              <w:jc w:val="both"/>
            </w:pPr>
            <w:r>
              <w:rPr>
                <w:rFonts w:ascii="仿宋_GB2312" w:hAnsi="仿宋_GB2312" w:cs="仿宋_GB2312" w:eastAsia="仿宋_GB2312"/>
                <w:sz w:val="21"/>
              </w:rPr>
              <w:t>3、按城市管理部门要求安装冲洗台、限高栏、联网监控和空气检测装置等，确保设备正常使用。</w:t>
            </w:r>
          </w:p>
          <w:p>
            <w:pPr>
              <w:pStyle w:val="null3"/>
              <w:ind w:left="630"/>
              <w:jc w:val="both"/>
            </w:pPr>
            <w:r>
              <w:rPr>
                <w:rFonts w:ascii="仿宋_GB2312" w:hAnsi="仿宋_GB2312" w:cs="仿宋_GB2312" w:eastAsia="仿宋_GB2312"/>
                <w:sz w:val="21"/>
              </w:rPr>
              <w:t>4、设立专人负责现场酒水工作，配置加压水泵、水管。</w:t>
            </w:r>
          </w:p>
          <w:p>
            <w:pPr>
              <w:pStyle w:val="null3"/>
              <w:ind w:left="630"/>
              <w:jc w:val="both"/>
            </w:pPr>
            <w:r>
              <w:rPr>
                <w:rFonts w:ascii="仿宋_GB2312" w:hAnsi="仿宋_GB2312" w:cs="仿宋_GB2312" w:eastAsia="仿宋_GB2312"/>
                <w:sz w:val="21"/>
              </w:rPr>
              <w:t>5、对现场堆放的垃圾用安全网覆盖，洒水湿润。</w:t>
            </w:r>
          </w:p>
          <w:p>
            <w:pPr>
              <w:pStyle w:val="null3"/>
              <w:ind w:firstLine="640"/>
              <w:jc w:val="both"/>
            </w:pPr>
            <w:r>
              <w:rPr>
                <w:rFonts w:ascii="仿宋_GB2312" w:hAnsi="仿宋_GB2312" w:cs="仿宋_GB2312" w:eastAsia="仿宋_GB2312"/>
                <w:sz w:val="21"/>
              </w:rPr>
              <w:t>6、垃圾运输车辆选用带有顶盖的车辆，且场内车速不得大于10km/h。</w:t>
            </w:r>
          </w:p>
          <w:p>
            <w:pPr>
              <w:pStyle w:val="null3"/>
              <w:ind w:firstLine="640"/>
              <w:jc w:val="both"/>
            </w:pPr>
            <w:r>
              <w:rPr>
                <w:rFonts w:ascii="仿宋_GB2312" w:hAnsi="仿宋_GB2312" w:cs="仿宋_GB2312" w:eastAsia="仿宋_GB2312"/>
                <w:sz w:val="21"/>
              </w:rPr>
              <w:t>7、拆除产生的全部建筑垃圾，严格按照城市管理部门指定的运输路线和倾倒场地清运，不得冒尖装载、不得沿路抛酒。</w:t>
            </w:r>
          </w:p>
          <w:p>
            <w:pPr>
              <w:pStyle w:val="null3"/>
              <w:ind w:firstLine="320"/>
              <w:jc w:val="both"/>
            </w:pPr>
            <w:r>
              <w:rPr>
                <w:rFonts w:ascii="仿宋_GB2312" w:hAnsi="仿宋_GB2312" w:cs="仿宋_GB2312" w:eastAsia="仿宋_GB2312"/>
                <w:sz w:val="21"/>
              </w:rPr>
              <w:t xml:space="preserve"> （二）运距要求</w:t>
            </w:r>
          </w:p>
          <w:p>
            <w:pPr>
              <w:pStyle w:val="null3"/>
              <w:ind w:firstLine="640"/>
              <w:jc w:val="both"/>
            </w:pPr>
            <w:r>
              <w:rPr>
                <w:rFonts w:ascii="仿宋_GB2312" w:hAnsi="仿宋_GB2312" w:cs="仿宋_GB2312" w:eastAsia="仿宋_GB2312"/>
                <w:sz w:val="21"/>
              </w:rPr>
              <w:t>1、该项目实施时如垃圾倾倒点改变成交单位需有自行协调垃圾倾倒点的能力。</w:t>
            </w:r>
          </w:p>
          <w:p>
            <w:pPr>
              <w:pStyle w:val="null3"/>
              <w:ind w:firstLine="640"/>
              <w:jc w:val="both"/>
            </w:pPr>
            <w:r>
              <w:rPr>
                <w:rFonts w:ascii="仿宋_GB2312" w:hAnsi="仿宋_GB2312" w:cs="仿宋_GB2312" w:eastAsia="仿宋_GB2312"/>
                <w:sz w:val="21"/>
              </w:rPr>
              <w:t>2、该项目预算审核运距为63公里，由垃圾倾倒点改变引起的运距增加不做调整。</w:t>
            </w:r>
          </w:p>
          <w:p>
            <w:pPr>
              <w:pStyle w:val="null3"/>
              <w:ind w:firstLine="320"/>
              <w:jc w:val="both"/>
            </w:pPr>
            <w:r>
              <w:rPr>
                <w:rFonts w:ascii="仿宋_GB2312" w:hAnsi="仿宋_GB2312" w:cs="仿宋_GB2312" w:eastAsia="仿宋_GB2312"/>
                <w:sz w:val="21"/>
              </w:rPr>
              <w:t xml:space="preserve"> （三）工期要求</w:t>
            </w:r>
          </w:p>
          <w:p>
            <w:pPr>
              <w:pStyle w:val="null3"/>
              <w:ind w:firstLine="640"/>
              <w:jc w:val="both"/>
            </w:pPr>
            <w:r>
              <w:rPr>
                <w:rFonts w:ascii="仿宋_GB2312" w:hAnsi="仿宋_GB2312" w:cs="仿宋_GB2312" w:eastAsia="仿宋_GB2312"/>
                <w:sz w:val="21"/>
              </w:rPr>
              <w:t>合同签订之日起30天完成约定的项目内容</w:t>
            </w:r>
          </w:p>
          <w:p>
            <w:pPr>
              <w:pStyle w:val="null3"/>
              <w:ind w:firstLine="643"/>
              <w:jc w:val="both"/>
            </w:pPr>
            <w:r>
              <w:rPr>
                <w:rFonts w:ascii="仿宋_GB2312" w:hAnsi="仿宋_GB2312" w:cs="仿宋_GB2312" w:eastAsia="仿宋_GB2312"/>
                <w:sz w:val="21"/>
                <w:b/>
              </w:rPr>
              <w:t>三、执行的法律法规、技术规范</w:t>
            </w:r>
          </w:p>
          <w:p>
            <w:pPr>
              <w:pStyle w:val="null3"/>
              <w:ind w:firstLine="640"/>
              <w:jc w:val="both"/>
            </w:pPr>
            <w:r>
              <w:rPr>
                <w:rFonts w:ascii="仿宋_GB2312" w:hAnsi="仿宋_GB2312" w:cs="仿宋_GB2312" w:eastAsia="仿宋_GB2312"/>
                <w:sz w:val="21"/>
              </w:rPr>
              <w:t xml:space="preserve">执行的法律法规、技术规范包括但不限于以下规定、规范、标准：《安全生产法》、《建设工程安全生产管理条例》、《西安市扬尘污染防治条例》、《西安市建筑垃圾管理办法》、《西安高新区治污减霾网格化管理工作实施方案》。  </w:t>
            </w:r>
          </w:p>
          <w:p>
            <w:pPr>
              <w:pStyle w:val="null3"/>
              <w:jc w:val="both"/>
            </w:pPr>
            <w:r>
              <w:rPr>
                <w:rFonts w:ascii="仿宋_GB2312" w:hAnsi="仿宋_GB2312" w:cs="仿宋_GB2312" w:eastAsia="仿宋_GB2312"/>
                <w:sz w:val="21"/>
                <w:b/>
              </w:rPr>
              <w:t xml:space="preserve">    四、其他要求</w:t>
            </w:r>
          </w:p>
          <w:p>
            <w:pPr>
              <w:pStyle w:val="null3"/>
              <w:jc w:val="both"/>
            </w:pPr>
            <w:r>
              <w:rPr>
                <w:rFonts w:ascii="仿宋_GB2312" w:hAnsi="仿宋_GB2312" w:cs="仿宋_GB2312" w:eastAsia="仿宋_GB2312"/>
                <w:sz w:val="21"/>
              </w:rPr>
              <w:t>施工单位要严格按照技术规范执行清表作业，必须在指定作业区域内施工，不得擅自变更作业地点，另自行协调与周边村庄关系。</w:t>
            </w:r>
          </w:p>
          <w:p>
            <w:pPr>
              <w:pStyle w:val="null3"/>
            </w:pPr>
            <w:r>
              <w:rPr>
                <w:rFonts w:ascii="仿宋_GB2312" w:hAnsi="仿宋_GB2312" w:cs="仿宋_GB2312" w:eastAsia="仿宋_GB2312"/>
                <w:sz w:val="21"/>
                <w:b/>
                <w:color w:val="000000"/>
              </w:rPr>
              <w:t xml:space="preserve">    五、付款方式</w:t>
            </w:r>
          </w:p>
          <w:p>
            <w:pPr>
              <w:pStyle w:val="null3"/>
            </w:pPr>
            <w:r>
              <w:rPr>
                <w:rFonts w:ascii="仿宋_GB2312" w:hAnsi="仿宋_GB2312" w:cs="仿宋_GB2312" w:eastAsia="仿宋_GB2312"/>
                <w:sz w:val="21"/>
                <w:color w:val="000000"/>
              </w:rPr>
              <w:t>自合同签订后预付合同额</w:t>
            </w:r>
            <w:r>
              <w:rPr>
                <w:rFonts w:ascii="仿宋_GB2312" w:hAnsi="仿宋_GB2312" w:cs="仿宋_GB2312" w:eastAsia="仿宋_GB2312"/>
                <w:sz w:val="21"/>
                <w:color w:val="000000"/>
              </w:rPr>
              <w:t>40%</w:t>
            </w:r>
            <w:r>
              <w:rPr>
                <w:rFonts w:ascii="仿宋_GB2312" w:hAnsi="仿宋_GB2312" w:cs="仿宋_GB2312" w:eastAsia="仿宋_GB2312"/>
                <w:sz w:val="21"/>
                <w:color w:val="000000"/>
              </w:rPr>
              <w:t>，项目验收合格后付至合同金额的</w:t>
            </w:r>
            <w:r>
              <w:rPr>
                <w:rFonts w:ascii="仿宋_GB2312" w:hAnsi="仿宋_GB2312" w:cs="仿宋_GB2312" w:eastAsia="仿宋_GB2312"/>
                <w:sz w:val="21"/>
                <w:color w:val="000000"/>
              </w:rPr>
              <w:t>70%</w:t>
            </w:r>
            <w:r>
              <w:rPr>
                <w:rFonts w:ascii="仿宋_GB2312" w:hAnsi="仿宋_GB2312" w:cs="仿宋_GB2312" w:eastAsia="仿宋_GB2312"/>
                <w:sz w:val="21"/>
                <w:color w:val="000000"/>
              </w:rPr>
              <w:t>，待项目结算评审结束后支付至结算金</w:t>
            </w:r>
            <w:r>
              <w:rPr>
                <w:rFonts w:ascii="仿宋_GB2312" w:hAnsi="仿宋_GB2312" w:cs="仿宋_GB2312" w:eastAsia="仿宋_GB2312"/>
                <w:sz w:val="21"/>
                <w:color w:val="000000"/>
              </w:rPr>
              <w:t>额的</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的法律法规、技术规范包括但不限于以下规定、规范、标准:《安全生产法》、《建设工程安全生产管理条例》、《西安市扬尘污染防治条例》、《西安市建筑垃圾管理办法》、《西安高新区治污威雅网格化管理工作实施方案》。</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施工单位要严格按照技术规范执行清表作业，必须在指定作业区域内施工，不得擅自变更作业地点，另自行协调与周边村庄关系。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第一部分资格证明文件(1).docx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第一部分资格证明文件(1).docx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第一部分资格证明文件(1).docx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营业执照等主体资格证明文件：提供有效存续的企业营业执照（副本）/事业单位法人证书/专业服务机构执业许可证/民办非企业单位登记证书/自然人身份证明；</w:t>
            </w:r>
          </w:p>
        </w:tc>
        <w:tc>
          <w:tcPr>
            <w:tcW w:type="dxa" w:w="1661"/>
          </w:tcPr>
          <w:p>
            <w:pPr>
              <w:pStyle w:val="null3"/>
            </w:pPr>
            <w:r>
              <w:rPr>
                <w:rFonts w:ascii="仿宋_GB2312" w:hAnsi="仿宋_GB2312" w:cs="仿宋_GB2312" w:eastAsia="仿宋_GB2312"/>
              </w:rPr>
              <w:t>第一部分资格证明文件(1).docx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提供《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六章竞争性磋商响应文件格式。不提供《基本资格条件承诺函》的供应商需提交如下资格证明文件： 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 ②提供具有履行合同所必需的设备和专业技术能力的承诺； ③提供开标时间前6个月内任意时段的纳税证明或完税证明（除印花税外任意税种），纳税证明或完税证明上应有代收机构或税务机关的公章或业务专用章。依法免税的供应商应提供相关文件证明； ④提供开标时间前6个月内任意时段的社会保障资金缴存单据或社保机构开具的社会保险参保缴费情况证明，依法不需要缴纳社会保障资金的单位应提供相关证明材料； ⑤参加政府采购活动前3年内，在经营活动中没有重大违法记录的书面声明。</w:t>
            </w:r>
          </w:p>
        </w:tc>
        <w:tc>
          <w:tcPr>
            <w:tcW w:type="dxa" w:w="1661"/>
          </w:tcPr>
          <w:p>
            <w:pPr>
              <w:pStyle w:val="null3"/>
            </w:pPr>
            <w:r>
              <w:rPr>
                <w:rFonts w:ascii="仿宋_GB2312" w:hAnsi="仿宋_GB2312" w:cs="仿宋_GB2312" w:eastAsia="仿宋_GB2312"/>
              </w:rPr>
              <w:t>第一部分资格证明文件(1).docx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第一部分资格证明文件(1).docx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身份证明/法定代表人（或负责人）授权委托书：法定代表人（或负责人）直接参加投标的，须提供法定代表人（或负责人）身份证明及其身份证电子件或扫描件；法定代表人（或负责人）授权他人参加投标的，须提供法定代表人（或负责人）授权委托书（附法定代表人（或负责人）、被授权人身份证电子件或扫描件）。</w:t>
            </w:r>
          </w:p>
        </w:tc>
        <w:tc>
          <w:tcPr>
            <w:tcW w:type="dxa" w:w="1661"/>
          </w:tcPr>
          <w:p>
            <w:pPr>
              <w:pStyle w:val="null3"/>
            </w:pPr>
            <w:r>
              <w:rPr>
                <w:rFonts w:ascii="仿宋_GB2312" w:hAnsi="仿宋_GB2312" w:cs="仿宋_GB2312" w:eastAsia="仿宋_GB2312"/>
              </w:rPr>
              <w:t>第一部分资格证明文件(1).docx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第一部分资格证明文件(1).docx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供应商具备建设行政主管部门颁发的建筑工程施工总承包三级（含）及以上资质，且具有有效的安全生产许可证。</w:t>
            </w:r>
          </w:p>
        </w:tc>
        <w:tc>
          <w:tcPr>
            <w:tcW w:type="dxa" w:w="1661"/>
          </w:tcPr>
          <w:p>
            <w:pPr>
              <w:pStyle w:val="null3"/>
            </w:pPr>
            <w:r>
              <w:rPr>
                <w:rFonts w:ascii="仿宋_GB2312" w:hAnsi="仿宋_GB2312" w:cs="仿宋_GB2312" w:eastAsia="仿宋_GB2312"/>
              </w:rPr>
              <w:t>第一部分资格证明文件(1).docx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基本信息要求</w:t>
            </w:r>
          </w:p>
        </w:tc>
        <w:tc>
          <w:tcPr>
            <w:tcW w:type="dxa" w:w="3322"/>
          </w:tcPr>
          <w:p>
            <w:pPr>
              <w:pStyle w:val="null3"/>
            </w:pPr>
            <w:r>
              <w:rPr>
                <w:rFonts w:ascii="仿宋_GB2312" w:hAnsi="仿宋_GB2312" w:cs="仿宋_GB2312" w:eastAsia="仿宋_GB2312"/>
              </w:rPr>
              <w:t>供应商资质基本信息应在“陕西省住房和城乡建设厅网（http://js.shaanxi.gov.cn/）”可查询；</w:t>
            </w:r>
          </w:p>
        </w:tc>
        <w:tc>
          <w:tcPr>
            <w:tcW w:type="dxa" w:w="1661"/>
          </w:tcPr>
          <w:p>
            <w:pPr>
              <w:pStyle w:val="null3"/>
            </w:pPr>
            <w:r>
              <w:rPr>
                <w:rFonts w:ascii="仿宋_GB2312" w:hAnsi="仿宋_GB2312" w:cs="仿宋_GB2312" w:eastAsia="仿宋_GB2312"/>
              </w:rPr>
              <w:t>第一部分资格证明文件(1).docx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第一部分资格证明文件(1).docx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第一部分资格证明文件(1).docx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第一部分资格证明文件(1).docx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报价函 标的清单 响应函 第一部分资格证明文件(1).docx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第二部分符合性证明文件(1).docx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w:t>
            </w:r>
          </w:p>
        </w:tc>
        <w:tc>
          <w:tcPr>
            <w:tcW w:type="dxa" w:w="1661"/>
          </w:tcPr>
          <w:p>
            <w:pPr>
              <w:pStyle w:val="null3"/>
            </w:pPr>
            <w:r>
              <w:rPr>
                <w:rFonts w:ascii="仿宋_GB2312" w:hAnsi="仿宋_GB2312" w:cs="仿宋_GB2312" w:eastAsia="仿宋_GB2312"/>
              </w:rPr>
              <w:t>第二部分符合性证明文件(1).docx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针对本项目各项要求制定施工方案。 方案全面、合理、规范，可操作性强得6分； 方案比较合理和规范，有一定的可操作性得5分； 方案比较合理，有可操作性得4分； 方案基本合理，可操作性不强得3分； 方案基本合理，可操作性一般得2分； 方案简单，可操作性差得1分；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针对本项目有确保工程质量的技术组织措施。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针对本项目拟投入项目经理部组成人员结构合理，人员配备齐全，责任明确，佐证材料齐全得6分； 针对本项目拟投入项目经理部组成人员结构相对合理，人员配备相对齐全，责任相对明确，有相关佐证材料得5分； 针对本项目拟投入项目经理部组成人员结构基本合理，人员配备基本齐全，责任基本明确，有相关佐证材料得4分； 针对本项目拟投入项目经理部组成人员结构不够合理，人员配备不够齐全，责任不太明确，相关佐证材料缺失得3分； 针对本项目拟投入项目经理部组成人员结构不合理，人员配备不齐全，责任不明确，相关佐证材料缺失得2分； 针对本项目拟投入项目经理部组成人员内容笼统，可行性有待考究的，得1分；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确保工程安全的保证措施</w:t>
            </w:r>
          </w:p>
        </w:tc>
        <w:tc>
          <w:tcPr>
            <w:tcW w:type="dxa" w:w="2492"/>
          </w:tcPr>
          <w:p>
            <w:pPr>
              <w:pStyle w:val="null3"/>
            </w:pPr>
            <w:r>
              <w:rPr>
                <w:rFonts w:ascii="仿宋_GB2312" w:hAnsi="仿宋_GB2312" w:cs="仿宋_GB2312" w:eastAsia="仿宋_GB2312"/>
              </w:rPr>
              <w:t>针对本项目的特点、不同的施工工艺、施工场地及施工环境等，有详细完整的安全保证措施。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针对本项目，有具体、可行的确保工期的文明施工措施。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拟投入主要施工机具、设备及材料投入计划</w:t>
            </w:r>
          </w:p>
        </w:tc>
        <w:tc>
          <w:tcPr>
            <w:tcW w:type="dxa" w:w="2492"/>
          </w:tcPr>
          <w:p>
            <w:pPr>
              <w:pStyle w:val="null3"/>
            </w:pPr>
            <w:r>
              <w:rPr>
                <w:rFonts w:ascii="仿宋_GB2312" w:hAnsi="仿宋_GB2312" w:cs="仿宋_GB2312" w:eastAsia="仿宋_GB2312"/>
              </w:rPr>
              <w:t>针对本项目拟投入的主要施工机具、设备及材料投入计划方案。 方案全面、合理、规范，可操作性强得6分； 方案比较合理和规范，有一定的可操作性得5分； 方案比较合理，有可操作性得4分； 方案基本合理，可操作性不强得3分； 方案基本合理，可操作性一般得2分； 方案简单，可操作性差得1分； 无方案不得分。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针对本项目，有具体、可行的环境保护措施。 措施全面、合理、规范，可操作性强得6分； 措施比较合理和规范，有一定的可操作性得5分； 措施比较合理，有可操作性得4分； 措施基本合理，可操作性不强得3分； 措施基本合理，可操作性一般得2分； 措施简单，可操作性差得1分； 无方案不得分。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根据本项目的具体情况，设置合理的进度控制点，制定周到、全面、具体的进度计划，同时有科学、合理的施工进度表或施工网络图。能够充分考虑计划，均衡资源，满足工期和质量。 进度计划全面、科学、合理性强，得6分； 进度计划相对全面、科学、合理性较强，得5分； 进度计划基本全面、较科学、有一定的合理性，得4分； 进度计划不够全面、科学、合理性相对较弱，得3分； 进度计划不全面、科学、合理性较差，得2分； 进度计划笼统，合理性有待考究的，得1分；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施工现场扬尘、噪音保障措施</w:t>
            </w:r>
          </w:p>
        </w:tc>
        <w:tc>
          <w:tcPr>
            <w:tcW w:type="dxa" w:w="2492"/>
          </w:tcPr>
          <w:p>
            <w:pPr>
              <w:pStyle w:val="null3"/>
            </w:pPr>
            <w:r>
              <w:rPr>
                <w:rFonts w:ascii="仿宋_GB2312" w:hAnsi="仿宋_GB2312" w:cs="仿宋_GB2312" w:eastAsia="仿宋_GB2312"/>
              </w:rPr>
              <w:t>提供避免或减小噪音、粉尘扬尘及震动的相关措施。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建筑垃圾清运倾倒方案</w:t>
            </w:r>
          </w:p>
        </w:tc>
        <w:tc>
          <w:tcPr>
            <w:tcW w:type="dxa" w:w="2492"/>
          </w:tcPr>
          <w:p>
            <w:pPr>
              <w:pStyle w:val="null3"/>
            </w:pPr>
            <w:r>
              <w:rPr>
                <w:rFonts w:ascii="仿宋_GB2312" w:hAnsi="仿宋_GB2312" w:cs="仿宋_GB2312" w:eastAsia="仿宋_GB2312"/>
              </w:rPr>
              <w:t>建筑垃圾按当地有关规定倾倒，不任意倾倒、抛洒或者堆放垃圾；不在运输过程中沿途丢弃、遗撒。 方案完整、合理、全面、可行、针对性和可行性强的得5分； 方案完整、合理、全面，具有可行性和针对性的得4分； 方案基本完整、合理、全面、基本具有可行性和针对性的得3分； 方案简单但有一定合理性和可行性的得2分； 方案简单，合理性、可行性和针对性差的得1分；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劳动力安排计划方案</w:t>
            </w:r>
          </w:p>
        </w:tc>
        <w:tc>
          <w:tcPr>
            <w:tcW w:type="dxa" w:w="2492"/>
          </w:tcPr>
          <w:p>
            <w:pPr>
              <w:pStyle w:val="null3"/>
            </w:pPr>
            <w:r>
              <w:rPr>
                <w:rFonts w:ascii="仿宋_GB2312" w:hAnsi="仿宋_GB2312" w:cs="仿宋_GB2312" w:eastAsia="仿宋_GB2312"/>
              </w:rPr>
              <w:t>根据本项目的具体情况，有具体、可行的劳动力安排计划方案。 方案完整、合理、全面、可行、针对性和可行性强的得5分； 方案完整、合理、全面，有一定的可行性和针对性的得4分； 方案基本完整、合理、全面、可行性和针对性较差的得3分； 方案简单但有一定合理性和可行性的得2分； 方案简单，合理性、可行性和针对性差的得1分；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提供2022年1月1日以来类似项目业绩。以合同签订日期为准，并加盖供应商公章的合同关键页复印件为计分依据，每份合格业绩合同计2分，满分6分。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磋商报价得分=（磋商基准价/最后磋商报价）×30的公式计算其得分。 磋商报价不完整的，不进入评审基准价的计算，本项得0分。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详见附件：第一部分资格证明文件(1).docx</w:t>
      </w:r>
    </w:p>
    <w:p>
      <w:pPr>
        <w:pStyle w:val="null3"/>
        <w:ind w:firstLine="960"/>
      </w:pPr>
      <w:r>
        <w:rPr>
          <w:rFonts w:ascii="仿宋_GB2312" w:hAnsi="仿宋_GB2312" w:cs="仿宋_GB2312" w:eastAsia="仿宋_GB2312"/>
        </w:rPr>
        <w:t>详见附件：第二部分符合性证明文件(1).docx</w:t>
      </w:r>
    </w:p>
    <w:p>
      <w:pPr>
        <w:pStyle w:val="null3"/>
        <w:ind w:firstLine="960"/>
      </w:pPr>
      <w:r>
        <w:rPr>
          <w:rFonts w:ascii="仿宋_GB2312" w:hAnsi="仿宋_GB2312" w:cs="仿宋_GB2312" w:eastAsia="仿宋_GB2312"/>
        </w:rPr>
        <w:t>详见附件：第三部分磋商响应方案(1).docx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详见附件：750千伏拟签订采购合同文本.docx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