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BEFD">
      <w:pPr>
        <w:pStyle w:val="8"/>
        <w:ind w:left="283"/>
        <w:rPr>
          <w:rFonts w:hint="eastAsia" w:ascii="仿宋" w:hAnsi="仿宋" w:eastAsia="仿宋" w:cs="仿宋"/>
          <w:b w:val="0"/>
          <w:bCs w:val="0"/>
        </w:rPr>
      </w:pPr>
      <w:bookmarkStart w:id="0" w:name="_Toc21079"/>
      <w:bookmarkStart w:id="1" w:name="_Toc31045"/>
      <w:bookmarkStart w:id="2" w:name="_Toc20524"/>
      <w:bookmarkStart w:id="3" w:name="_Toc13676"/>
      <w:bookmarkStart w:id="4" w:name="_Toc21101"/>
      <w:bookmarkStart w:id="5" w:name="_Toc27786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 w14:paraId="68CC42E9">
      <w:pPr>
        <w:pStyle w:val="8"/>
        <w:spacing w:before="0" w:after="0" w:line="560" w:lineRule="exact"/>
        <w:jc w:val="both"/>
        <w:outlineLvl w:val="2"/>
        <w:rPr>
          <w:rFonts w:hint="eastAsia" w:ascii="仿宋" w:hAnsi="仿宋" w:eastAsia="仿宋" w:cs="仿宋"/>
          <w:sz w:val="22"/>
          <w:szCs w:val="22"/>
        </w:rPr>
      </w:pPr>
      <w:bookmarkStart w:id="6" w:name="_Toc30676"/>
      <w:bookmarkStart w:id="7" w:name="_Toc26478"/>
      <w:bookmarkStart w:id="8" w:name="_Toc23944"/>
      <w:bookmarkStart w:id="9" w:name="_Toc7923"/>
      <w:bookmarkStart w:id="10" w:name="_Toc31882"/>
      <w:bookmarkStart w:id="11" w:name="_Toc17300"/>
      <w:bookmarkStart w:id="12" w:name="_Toc32000"/>
      <w:bookmarkStart w:id="13" w:name="_Toc9535"/>
      <w:bookmarkStart w:id="14" w:name="_Toc32512"/>
      <w:bookmarkStart w:id="15" w:name="_Toc9795"/>
      <w:bookmarkStart w:id="16" w:name="_Toc5596"/>
      <w:bookmarkStart w:id="17" w:name="_Toc21184"/>
      <w:bookmarkStart w:id="18" w:name="_Toc5476"/>
      <w:r>
        <w:rPr>
          <w:rFonts w:hint="eastAsia" w:ascii="仿宋" w:hAnsi="仿宋" w:eastAsia="仿宋" w:cs="仿宋"/>
          <w:sz w:val="22"/>
          <w:szCs w:val="22"/>
        </w:rPr>
        <w:t>一、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仿宋" w:hAnsi="仿宋" w:eastAsia="仿宋" w:cs="仿宋"/>
          <w:sz w:val="22"/>
          <w:szCs w:val="22"/>
        </w:rPr>
        <w:t xml:space="preserve">技术服务方案 </w:t>
      </w:r>
    </w:p>
    <w:p w14:paraId="0F15A680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参照竞争性磋商文件第六章磋商方法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6.4评审办法及标准各条款</w:t>
      </w:r>
      <w:r>
        <w:rPr>
          <w:rFonts w:hint="eastAsia" w:ascii="仿宋" w:hAnsi="仿宋" w:eastAsia="仿宋" w:cs="仿宋"/>
          <w:sz w:val="22"/>
          <w:szCs w:val="22"/>
        </w:rPr>
        <w:t>的要求，结合第三章 磋商项目技术、服务、商务及其他要求编制响应方案。</w:t>
      </w:r>
    </w:p>
    <w:p w14:paraId="1C2DEA48">
      <w:pPr>
        <w:pStyle w:val="9"/>
        <w:spacing w:before="0" w:beforeLines="0" w:line="360" w:lineRule="auto"/>
        <w:outlineLvl w:val="2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bookmarkStart w:id="20" w:name="_GoBack"/>
      <w:bookmarkEnd w:id="20"/>
      <w:r>
        <w:rPr>
          <w:rFonts w:hint="eastAsia" w:ascii="仿宋" w:hAnsi="仿宋" w:eastAsia="仿宋" w:cs="仿宋"/>
          <w:sz w:val="22"/>
          <w:szCs w:val="22"/>
        </w:rPr>
        <w:br w:type="page"/>
      </w:r>
      <w:bookmarkStart w:id="19" w:name="_Toc23301"/>
      <w:r>
        <w:rPr>
          <w:rFonts w:hint="eastAsia" w:ascii="仿宋" w:hAnsi="仿宋" w:eastAsia="仿宋" w:cs="仿宋"/>
          <w:b/>
          <w:bCs/>
          <w:sz w:val="22"/>
          <w:szCs w:val="22"/>
        </w:rPr>
        <w:t>二、供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应商认为有利于成交的其他情况说明</w:t>
      </w:r>
      <w:bookmarkEnd w:id="19"/>
    </w:p>
    <w:p w14:paraId="6BBC6146">
      <w:pPr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sz w:val="22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bCs/>
          <w:sz w:val="22"/>
          <w:szCs w:val="28"/>
          <w:highlight w:val="none"/>
          <w:lang w:val="en-US" w:eastAsia="zh-CN"/>
        </w:rPr>
        <w:t>附表：</w:t>
      </w:r>
    </w:p>
    <w:p w14:paraId="05888A97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二次分项报价表</w:t>
      </w:r>
    </w:p>
    <w:tbl>
      <w:tblPr>
        <w:tblStyle w:val="6"/>
        <w:tblW w:w="4998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"/>
        <w:gridCol w:w="1132"/>
        <w:gridCol w:w="1411"/>
        <w:gridCol w:w="819"/>
        <w:gridCol w:w="1202"/>
        <w:gridCol w:w="1273"/>
        <w:gridCol w:w="1515"/>
        <w:gridCol w:w="1247"/>
      </w:tblGrid>
      <w:tr w14:paraId="05D8D4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E6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9F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项目划分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9D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19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F3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暂估数量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298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最高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限价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元）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BB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供应商报价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元）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50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70079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4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DF6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2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33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建筑物拆除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11B8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砖混结构房屋拆除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F1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43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 xml:space="preserve">6024.38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22B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1.25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1F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6D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FF63F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6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EF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C52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vertAlign w:val="superscript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水泥路拆除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49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237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 xml:space="preserve">624.19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3EA3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17.00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BF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4A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5E5F5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A7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3E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B18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围墙拆除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48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5F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 xml:space="preserve">76.32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53F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C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C5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748E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57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91C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DD4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清表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89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5A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 xml:space="preserve">8280.09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D213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5.06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78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2A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9583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950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30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1E2C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垃圾清运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0C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7D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6251.97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099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118.00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10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AD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2D2F5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7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89A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291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8A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05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00A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single"/>
              </w:rPr>
            </w:pP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0C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77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B51B3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D8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2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81D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复垦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CFE9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垃圾清运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4F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9C1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8280.09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91F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118.00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C9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89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FBE1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F98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6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309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外购土方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CE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02B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8080.09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AC05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25.00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02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11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DF00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9D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DA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E35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整平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33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79E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8280.09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B80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10.00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64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FD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08DF1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7D8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2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95E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14D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BC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890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F53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single"/>
              </w:rPr>
            </w:pP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64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18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D5D1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35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62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FF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401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总合计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218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223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u w:val="single"/>
              </w:rPr>
            </w:pPr>
          </w:p>
        </w:tc>
        <w:tc>
          <w:tcPr>
            <w:tcW w:w="83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D6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02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4A122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注：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1、供应商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根据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文件的规定，结合企业自身管理水平及市场行情自主报价，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且各项磋商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单价不得超过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对应项的最高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限价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请填写并加盖公章</w:t>
      </w:r>
    </w:p>
    <w:p w14:paraId="21E2A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hint="eastAsia" w:ascii="仿宋" w:hAnsi="仿宋" w:eastAsia="仿宋" w:cs="仿宋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供应商名称：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（盖单位公章）</w:t>
      </w:r>
    </w:p>
    <w:p w14:paraId="0469FB50">
      <w:pPr>
        <w:spacing w:line="720" w:lineRule="auto"/>
        <w:ind w:firstLine="440" w:firstLineChars="200"/>
        <w:rPr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日    期：      年   月    日</w:t>
      </w:r>
    </w:p>
    <w:sectPr>
      <w:footerReference r:id="rId3" w:type="default"/>
      <w:pgSz w:w="11906" w:h="16838"/>
      <w:pgMar w:top="1417" w:right="1417" w:bottom="1417" w:left="1417" w:header="851" w:footer="85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BE4E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79E5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E79E5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F6513"/>
    <w:rsid w:val="09C11943"/>
    <w:rsid w:val="1B785D82"/>
    <w:rsid w:val="200B0D98"/>
    <w:rsid w:val="209E0B0E"/>
    <w:rsid w:val="32AF6513"/>
    <w:rsid w:val="3DF80FAD"/>
    <w:rsid w:val="49DB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标题 2（投标文件）"/>
    <w:basedOn w:val="2"/>
    <w:qFormat/>
    <w:uiPriority w:val="0"/>
    <w:pPr>
      <w:jc w:val="center"/>
    </w:pPr>
  </w:style>
  <w:style w:type="paragraph" w:customStyle="1" w:styleId="9">
    <w:name w:val="标题 3（投标文件）"/>
    <w:basedOn w:val="3"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</Words>
  <Characters>385</Characters>
  <Lines>0</Lines>
  <Paragraphs>0</Paragraphs>
  <TotalTime>0</TotalTime>
  <ScaleCrop>false</ScaleCrop>
  <LinksUpToDate>false</LinksUpToDate>
  <CharactersWithSpaces>432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2025-09-09T08:40:00Z</dcterms:created>
  <dc:creator>echo</dc:creator>
  <cp:lastModifiedBy>echo</cp:lastModifiedBy>
  <dcterms:modified xsi:type="dcterms:W3CDTF">2025-10-11T02:59:54Z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CCE3932B98A24641B1DF09C84B0205EA_13</vt:lpwstr>
  </property>
  <property fmtid="{D5CDD505-2E9C-101B-9397-08002B2CF9AE}" pid="4" name="KSOTemplateDocerSaveRecord">
    <vt:lpwstr>eyJoZGlkIjoiM2YwNzFlMDkwMmZlZTgxMjI4ZjViYjJjNzlmMDkxMzMiLCJ1c2VySWQiOiIyNDg2NTg2NDAifQ==</vt:lpwstr>
  </property>
</Properties>
</file>