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版本号：SXZM-CS-202503820251011001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秦渡街道汉唐森源(二期)清表、垃圾清运项目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SXZM-CS-2025038</w:t>
      </w:r>
      <w:r>
        <w:br/>
      </w:r>
      <w:r>
        <w:br/>
      </w:r>
      <w:r>
        <w:br/>
      </w:r>
    </w:p>
    <w:p>
      <w:pPr>
        <w:pStyle w:val="null3"/>
        <w:jc w:val="center"/>
        <w:outlineLvl w:val="2"/>
      </w:pPr>
      <w:r>
        <w:rPr>
          <w:rFonts w:ascii="仿宋_GB2312" w:hAnsi="仿宋_GB2312" w:cs="仿宋_GB2312" w:eastAsia="仿宋_GB2312"/>
          <w:sz w:val="28"/>
          <w:b/>
        </w:rPr>
        <w:t>西安市鄠邑区秦渡街道办事处</w:t>
      </w:r>
    </w:p>
    <w:p>
      <w:pPr>
        <w:pStyle w:val="null3"/>
        <w:jc w:val="center"/>
        <w:outlineLvl w:val="2"/>
      </w:pPr>
      <w:r>
        <w:rPr>
          <w:rFonts w:ascii="仿宋_GB2312" w:hAnsi="仿宋_GB2312" w:cs="仿宋_GB2312" w:eastAsia="仿宋_GB2312"/>
          <w:sz w:val="28"/>
          <w:b/>
        </w:rPr>
        <w:t>陕西正明项目管理有限公司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陕西正明项目管理有限公司</w:t>
      </w:r>
      <w:r>
        <w:rPr>
          <w:rFonts w:ascii="仿宋_GB2312" w:hAnsi="仿宋_GB2312" w:cs="仿宋_GB2312" w:eastAsia="仿宋_GB2312"/>
        </w:rPr>
        <w:t>（以下简称“代理机构”）受</w:t>
      </w:r>
      <w:r>
        <w:rPr>
          <w:rFonts w:ascii="仿宋_GB2312" w:hAnsi="仿宋_GB2312" w:cs="仿宋_GB2312" w:eastAsia="仿宋_GB2312"/>
        </w:rPr>
        <w:t>西安市鄠邑区秦渡街道办事处</w:t>
      </w:r>
      <w:r>
        <w:rPr>
          <w:rFonts w:ascii="仿宋_GB2312" w:hAnsi="仿宋_GB2312" w:cs="仿宋_GB2312" w:eastAsia="仿宋_GB2312"/>
        </w:rPr>
        <w:t>委托，拟对</w:t>
      </w:r>
      <w:r>
        <w:rPr>
          <w:rFonts w:ascii="仿宋_GB2312" w:hAnsi="仿宋_GB2312" w:cs="仿宋_GB2312" w:eastAsia="仿宋_GB2312"/>
        </w:rPr>
        <w:t>秦渡街道汉唐森源(二期)清表、垃圾清运项目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SXZM-CS-2025038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秦渡街道汉唐森源(二期)清表、垃圾清运项目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1、项目名称：秦渡街道汉唐森源（二期）清表、垃圾清运项目。 2、项目地点：秦渡街道第五桥村、辛家庄村。 3、项目主要内容：项目用地范围内清表、垃圾清运。该项目所需清表面积估算约为27565.92㎡，其中红线内：约14670m㎡，红线外：12895.92㎡；垃圾清运量估算约11026.37m3，其中。红线内5868m3，红线外：5158.37m3。 4、单价最高限价：清表：5.07元/㎡；垃圾清运：118.00元/m3</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采购包1（秦渡街道汉唐森源(二期)清表、垃圾清运项目）：属于专门面向中小企业采购。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1、营业执照等主体资格证明文件：提供有效存续的企业营业执照（副本）/事业单位法人证书/专业服务机构执业许可证/民办非企业单位登记证书/自然人身份证明；</w:t>
      </w:r>
    </w:p>
    <w:p>
      <w:pPr>
        <w:pStyle w:val="null3"/>
      </w:pPr>
      <w:r>
        <w:rPr>
          <w:rFonts w:ascii="仿宋_GB2312" w:hAnsi="仿宋_GB2312" w:cs="仿宋_GB2312" w:eastAsia="仿宋_GB2312"/>
        </w:rPr>
        <w:t>2、基本资格条件：提供《基本资格条件承诺函》，供应商应对承诺内容的真实性、合法性、有效性负责。经调查核实为虚假承诺的，视同为“提供虚假材料谋取中标、成交”的违法行为，依照《中华人民共和国政府采购法》等法律法规追究相应责任。 不提供《基本资格条件承诺函》的供应商需提交如下资格证明文件： ①财务状况报告：提供具有经审计资质单位出具的2024年度的财务审计报告，成立时间至提交投标文件截止时间不足一年的可提供成立后任意时段的资产负债表；或其开标前六个月内基本存款账户开户银行出具的资信证明。（以上两种形式的资料提供任何一种即可）； ②提供具有履行合同所必需的设备和专业技术能力的承诺； ③提供开标时间前6个月内任意时段的纳税证明或完税证明（除印花税外任意税种），纳税证明或完税证明上应有代收机构或税务机关的公章或业务专用章。依法免税的供应商应提供相关文件证明； ④提供开标时间前6个月内任意时段的社会保障资金缴存单据或社保机构开具的社会保险参保缴费情况证明，依法不需要缴纳社会保障资金的单位应提供相关证明材料； ⑤参加政府采购活动前3年内，在经营活动中没有重大违法记录的书面声明。</w:t>
      </w:r>
    </w:p>
    <w:p>
      <w:pPr>
        <w:pStyle w:val="null3"/>
      </w:pPr>
      <w:r>
        <w:rPr>
          <w:rFonts w:ascii="仿宋_GB2312" w:hAnsi="仿宋_GB2312" w:cs="仿宋_GB2312" w:eastAsia="仿宋_GB2312"/>
        </w:rPr>
        <w:t>3、落实政府采购政策需满足的资格要求：本项目专门面向中小企业采购，供应商应为中小微企业或监狱企业或残疾人福利性单位。</w:t>
      </w:r>
    </w:p>
    <w:p>
      <w:pPr>
        <w:pStyle w:val="null3"/>
      </w:pPr>
      <w:r>
        <w:rPr>
          <w:rFonts w:ascii="仿宋_GB2312" w:hAnsi="仿宋_GB2312" w:cs="仿宋_GB2312" w:eastAsia="仿宋_GB2312"/>
        </w:rPr>
        <w:t>4、法定代表人（或负责人）身份证明/法定代表人（或负责人）授权委托书：法定代表人（或负责人）直接参加投标的，须提供法定代表人（或负责人）身份证明及其身份证电子件或扫描件；法定代表人（或负责人）授权他人参加投标的，须提供法定代表人（或负责人）授权委托书（附法定代表人（或负责人）、被授权人身份证电子件或扫描件）。</w:t>
      </w:r>
    </w:p>
    <w:p>
      <w:pPr>
        <w:pStyle w:val="null3"/>
      </w:pPr>
      <w:r>
        <w:rPr>
          <w:rFonts w:ascii="仿宋_GB2312" w:hAnsi="仿宋_GB2312" w:cs="仿宋_GB2312" w:eastAsia="仿宋_GB2312"/>
        </w:rPr>
        <w:t>5、信用记录：供应商不得为“信用中国”网站（www.creditchina.gov.cn）中列入失信被执行人（页面跳转至“中国执行信息公开网”http://zxgk.court.gov.cn/shixin/）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6、特定资格条件：供应商具备建设行政主管部门颁发的建筑工程施工总承包三级（含）及以上资质，且具有有效的安全生产许可证；</w:t>
      </w:r>
    </w:p>
    <w:p>
      <w:pPr>
        <w:pStyle w:val="null3"/>
      </w:pPr>
      <w:r>
        <w:rPr>
          <w:rFonts w:ascii="仿宋_GB2312" w:hAnsi="仿宋_GB2312" w:cs="仿宋_GB2312" w:eastAsia="仿宋_GB2312"/>
        </w:rPr>
        <w:t>7、基本信息要求：供应商资质基本信息应在“陕西省住房和城乡建设厅网（http://js.shaanxi.gov.cn/）”可查询；</w:t>
      </w:r>
    </w:p>
    <w:p>
      <w:pPr>
        <w:pStyle w:val="null3"/>
      </w:pPr>
      <w:r>
        <w:rPr>
          <w:rFonts w:ascii="仿宋_GB2312" w:hAnsi="仿宋_GB2312" w:cs="仿宋_GB2312" w:eastAsia="仿宋_GB2312"/>
        </w:rPr>
        <w:t>8、控股管理关系：单位负责人为同一人或者存在直接控股、管理关系的供应商，不得参加同一合同下的政府采购活动。</w:t>
      </w:r>
    </w:p>
    <w:p>
      <w:pPr>
        <w:pStyle w:val="null3"/>
      </w:pPr>
      <w:r>
        <w:rPr>
          <w:rFonts w:ascii="仿宋_GB2312" w:hAnsi="仿宋_GB2312" w:cs="仿宋_GB2312" w:eastAsia="仿宋_GB2312"/>
        </w:rPr>
        <w:t>9、供应商书面声明：供应商未为本项目提供整体设计、规范编制或者项目管理、监理、检测等服务的书面声明。</w:t>
      </w:r>
    </w:p>
    <w:p>
      <w:pPr>
        <w:pStyle w:val="null3"/>
      </w:pPr>
      <w:r>
        <w:rPr>
          <w:rFonts w:ascii="仿宋_GB2312" w:hAnsi="仿宋_GB2312" w:cs="仿宋_GB2312" w:eastAsia="仿宋_GB2312"/>
        </w:rPr>
        <w:t>10、供应商参与磋商的承诺函：符合竞争性磋商文件要求。</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西安市鄠邑区秦渡街道办事处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陕西省西安市鄠邑区秦渡街道长安大街1号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029-84945080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陕西省西安市雁塔区科技二路71号竹园天寰国际1807室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樊睿、刘晨星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029-88855325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采购包1：1,440,870.87元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收取。 代理服务费账户： 户 名：陕西正明项目管理有限公司 开户行：中国民生银行股份有限公司西安枫林绿洲支行 账 号：170455461 招标代理服务费按约定由成交供应商支付，成交供应商在领取成交通知书前，须向采购代理机构支付招标代理服务费。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西安市鄠邑区秦渡街道办事处</w:t>
      </w:r>
      <w:r>
        <w:rPr>
          <w:rFonts w:ascii="仿宋_GB2312" w:hAnsi="仿宋_GB2312" w:cs="仿宋_GB2312" w:eastAsia="仿宋_GB2312"/>
        </w:rPr>
        <w:t>和</w:t>
      </w:r>
      <w:r>
        <w:rPr>
          <w:rFonts w:ascii="仿宋_GB2312" w:hAnsi="仿宋_GB2312" w:cs="仿宋_GB2312" w:eastAsia="仿宋_GB2312"/>
        </w:rPr>
        <w:t>陕西正明项目管理有限公司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西安市鄠邑区秦渡街道办事处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西安市鄠邑区秦渡街道办事处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按竞争性磋商文件、响应文件及合同文本执行。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陕西正明项目管理有限公司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陕西正明项目管理有限公司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陕西正明项目管理有限公司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联系人：樊睿、刘晨星</w:t>
      </w:r>
    </w:p>
    <w:p>
      <w:pPr>
        <w:pStyle w:val="null3"/>
      </w:pPr>
      <w:r>
        <w:rPr>
          <w:rFonts w:ascii="仿宋_GB2312" w:hAnsi="仿宋_GB2312" w:cs="仿宋_GB2312" w:eastAsia="仿宋_GB2312"/>
        </w:rPr>
        <w:t>联系电话：029-88855325</w:t>
      </w:r>
    </w:p>
    <w:p>
      <w:pPr>
        <w:pStyle w:val="null3"/>
      </w:pPr>
      <w:r>
        <w:rPr>
          <w:rFonts w:ascii="仿宋_GB2312" w:hAnsi="仿宋_GB2312" w:cs="仿宋_GB2312" w:eastAsia="仿宋_GB2312"/>
        </w:rPr>
        <w:t>地址：陕西省西安市雁塔区科技二路71号竹园天寰国际1807室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1,440,870.87</w:t>
      </w:r>
    </w:p>
    <w:p>
      <w:pPr>
        <w:pStyle w:val="null3"/>
      </w:pPr>
      <w:r>
        <w:rPr>
          <w:rFonts w:ascii="仿宋_GB2312" w:hAnsi="仿宋_GB2312" w:cs="仿宋_GB2312" w:eastAsia="仿宋_GB2312"/>
        </w:rPr>
        <w:t>采购包最高限价（元）: 1,440,870.87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秦渡街道汉唐森源(二期)清表、垃圾清运项目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1,440,870.87</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标的名称：秦渡街道汉唐森源(二期)清表、垃圾清运项目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3"/>
              <w:jc w:val="both"/>
            </w:pPr>
            <w:r>
              <w:rPr>
                <w:rFonts w:ascii="仿宋_GB2312" w:hAnsi="仿宋_GB2312" w:cs="仿宋_GB2312" w:eastAsia="仿宋_GB2312"/>
                <w:sz w:val="21"/>
                <w:b/>
              </w:rPr>
              <w:t>一、项目概况</w:t>
            </w:r>
          </w:p>
          <w:p>
            <w:pPr>
              <w:pStyle w:val="null3"/>
              <w:ind w:firstLine="643"/>
              <w:jc w:val="both"/>
            </w:pPr>
            <w:r>
              <w:rPr>
                <w:rFonts w:ascii="仿宋_GB2312" w:hAnsi="仿宋_GB2312" w:cs="仿宋_GB2312" w:eastAsia="仿宋_GB2312"/>
                <w:sz w:val="21"/>
              </w:rPr>
              <w:t>1、项目名称：秦渡街道汉唐森源（二期）清表、垃圾清运</w:t>
            </w:r>
            <w:r>
              <w:rPr>
                <w:rFonts w:ascii="仿宋_GB2312" w:hAnsi="仿宋_GB2312" w:cs="仿宋_GB2312" w:eastAsia="仿宋_GB2312"/>
                <w:sz w:val="21"/>
              </w:rPr>
              <w:t>项目。</w:t>
            </w:r>
          </w:p>
          <w:p>
            <w:pPr>
              <w:pStyle w:val="null3"/>
              <w:ind w:firstLine="643"/>
              <w:jc w:val="both"/>
            </w:pPr>
            <w:r>
              <w:rPr>
                <w:rFonts w:ascii="仿宋_GB2312" w:hAnsi="仿宋_GB2312" w:cs="仿宋_GB2312" w:eastAsia="仿宋_GB2312"/>
                <w:sz w:val="21"/>
              </w:rPr>
              <w:t>2、项目地点：秦渡街道第五桥村、辛家庄村。</w:t>
            </w:r>
          </w:p>
          <w:p>
            <w:pPr>
              <w:pStyle w:val="null3"/>
              <w:ind w:firstLine="643"/>
              <w:jc w:val="both"/>
            </w:pPr>
            <w:r>
              <w:rPr>
                <w:rFonts w:ascii="仿宋_GB2312" w:hAnsi="仿宋_GB2312" w:cs="仿宋_GB2312" w:eastAsia="仿宋_GB2312"/>
                <w:sz w:val="21"/>
              </w:rPr>
              <w:t>3、项目主要内容：项目用地范围内清表、垃圾清运。该项目所需清表面积估算约为27565.92㎡，其中红线内：约14670m㎡，红线外：12895.92㎡；垃圾清运量估算约11026.37m</w:t>
            </w:r>
            <w:r>
              <w:rPr>
                <w:rFonts w:ascii="仿宋_GB2312" w:hAnsi="仿宋_GB2312" w:cs="仿宋_GB2312" w:eastAsia="仿宋_GB2312"/>
                <w:sz w:val="21"/>
                <w:vertAlign w:val="superscript"/>
              </w:rPr>
              <w:t>3</w:t>
            </w:r>
            <w:r>
              <w:rPr>
                <w:rFonts w:ascii="仿宋_GB2312" w:hAnsi="仿宋_GB2312" w:cs="仿宋_GB2312" w:eastAsia="仿宋_GB2312"/>
                <w:sz w:val="21"/>
              </w:rPr>
              <w:t>，其中。红线内5868m</w:t>
            </w:r>
            <w:r>
              <w:rPr>
                <w:rFonts w:ascii="仿宋_GB2312" w:hAnsi="仿宋_GB2312" w:cs="仿宋_GB2312" w:eastAsia="仿宋_GB2312"/>
                <w:sz w:val="21"/>
                <w:vertAlign w:val="superscript"/>
              </w:rPr>
              <w:t>3</w:t>
            </w:r>
            <w:r>
              <w:rPr>
                <w:rFonts w:ascii="仿宋_GB2312" w:hAnsi="仿宋_GB2312" w:cs="仿宋_GB2312" w:eastAsia="仿宋_GB2312"/>
                <w:sz w:val="21"/>
              </w:rPr>
              <w:t>，红线外：5158.37m</w:t>
            </w:r>
            <w:r>
              <w:rPr>
                <w:rFonts w:ascii="仿宋_GB2312" w:hAnsi="仿宋_GB2312" w:cs="仿宋_GB2312" w:eastAsia="仿宋_GB2312"/>
                <w:sz w:val="21"/>
                <w:vertAlign w:val="superscript"/>
              </w:rPr>
              <w:t>3</w:t>
            </w:r>
            <w:r>
              <w:rPr>
                <w:rFonts w:ascii="仿宋_GB2312" w:hAnsi="仿宋_GB2312" w:cs="仿宋_GB2312" w:eastAsia="仿宋_GB2312"/>
                <w:sz w:val="21"/>
              </w:rPr>
              <w:t>。</w:t>
            </w:r>
          </w:p>
          <w:p>
            <w:pPr>
              <w:pStyle w:val="null3"/>
              <w:ind w:firstLine="643"/>
              <w:jc w:val="both"/>
            </w:pPr>
            <w:r>
              <w:rPr>
                <w:rFonts w:ascii="仿宋_GB2312" w:hAnsi="仿宋_GB2312" w:cs="仿宋_GB2312" w:eastAsia="仿宋_GB2312"/>
                <w:sz w:val="21"/>
              </w:rPr>
              <w:t>4、单价最高限价：清表：5.07元/㎡；垃圾清运：118.00元/m</w:t>
            </w:r>
            <w:r>
              <w:rPr>
                <w:rFonts w:ascii="仿宋_GB2312" w:hAnsi="仿宋_GB2312" w:cs="仿宋_GB2312" w:eastAsia="仿宋_GB2312"/>
                <w:sz w:val="21"/>
                <w:vertAlign w:val="superscript"/>
              </w:rPr>
              <w:t>3</w:t>
            </w:r>
            <w:r>
              <w:rPr>
                <w:rFonts w:ascii="仿宋_GB2312" w:hAnsi="仿宋_GB2312" w:cs="仿宋_GB2312" w:eastAsia="仿宋_GB2312"/>
                <w:sz w:val="21"/>
              </w:rPr>
              <w:t>。</w:t>
            </w:r>
          </w:p>
          <w:p>
            <w:pPr>
              <w:pStyle w:val="null3"/>
              <w:ind w:firstLine="643"/>
              <w:jc w:val="both"/>
            </w:pPr>
            <w:r>
              <w:rPr>
                <w:rFonts w:ascii="仿宋_GB2312" w:hAnsi="仿宋_GB2312" w:cs="仿宋_GB2312" w:eastAsia="仿宋_GB2312"/>
                <w:sz w:val="21"/>
                <w:b/>
              </w:rPr>
              <w:t>二、项目要求</w:t>
            </w:r>
          </w:p>
          <w:p>
            <w:pPr>
              <w:pStyle w:val="null3"/>
              <w:ind w:left="420"/>
              <w:jc w:val="both"/>
            </w:pPr>
            <w:r>
              <w:rPr>
                <w:rFonts w:ascii="仿宋_GB2312" w:hAnsi="仿宋_GB2312" w:cs="仿宋_GB2312" w:eastAsia="仿宋_GB2312"/>
                <w:sz w:val="21"/>
              </w:rPr>
              <w:t>（一）技术要求</w:t>
            </w:r>
          </w:p>
          <w:p>
            <w:pPr>
              <w:pStyle w:val="null3"/>
              <w:ind w:firstLine="640"/>
              <w:jc w:val="both"/>
            </w:pPr>
            <w:r>
              <w:rPr>
                <w:rFonts w:ascii="仿宋_GB2312" w:hAnsi="仿宋_GB2312" w:cs="仿宋_GB2312" w:eastAsia="仿宋_GB2312"/>
                <w:sz w:val="21"/>
              </w:rPr>
              <w:t>1、清表施工必须湿法作业，同时做好扬尘控制工作；</w:t>
            </w:r>
          </w:p>
          <w:p>
            <w:pPr>
              <w:pStyle w:val="null3"/>
              <w:ind w:firstLine="640"/>
              <w:jc w:val="both"/>
            </w:pPr>
            <w:r>
              <w:rPr>
                <w:rFonts w:ascii="仿宋_GB2312" w:hAnsi="仿宋_GB2312" w:cs="仿宋_GB2312" w:eastAsia="仿宋_GB2312"/>
                <w:sz w:val="21"/>
              </w:rPr>
              <w:t>2、对裸露黄土必须及时进行绿网覆盖；</w:t>
            </w:r>
          </w:p>
          <w:p>
            <w:pPr>
              <w:pStyle w:val="null3"/>
              <w:ind w:firstLine="640"/>
              <w:jc w:val="both"/>
            </w:pPr>
            <w:r>
              <w:rPr>
                <w:rFonts w:ascii="仿宋_GB2312" w:hAnsi="仿宋_GB2312" w:cs="仿宋_GB2312" w:eastAsia="仿宋_GB2312"/>
                <w:sz w:val="21"/>
              </w:rPr>
              <w:t>3、按城市管理部门要求安装冲洗台、限高栏、联网监控和空气检测装置等，确保设备正常使用；</w:t>
            </w:r>
          </w:p>
          <w:p>
            <w:pPr>
              <w:pStyle w:val="null3"/>
              <w:ind w:firstLine="640"/>
              <w:jc w:val="both"/>
            </w:pPr>
            <w:r>
              <w:rPr>
                <w:rFonts w:ascii="仿宋_GB2312" w:hAnsi="仿宋_GB2312" w:cs="仿宋_GB2312" w:eastAsia="仿宋_GB2312"/>
                <w:sz w:val="21"/>
              </w:rPr>
              <w:t>4、清表所产生的全部渣土等垃圾，严格按照城市管理部门指定的运输路线和倾倒场地清运，不得冒尖装载、不得沿路抛洒；</w:t>
            </w:r>
          </w:p>
          <w:p>
            <w:pPr>
              <w:pStyle w:val="null3"/>
              <w:ind w:firstLine="640"/>
              <w:jc w:val="both"/>
            </w:pPr>
            <w:r>
              <w:rPr>
                <w:rFonts w:ascii="仿宋_GB2312" w:hAnsi="仿宋_GB2312" w:cs="仿宋_GB2312" w:eastAsia="仿宋_GB2312"/>
                <w:sz w:val="21"/>
              </w:rPr>
              <w:t>5、清表完成后，需满足施工单位要求，符合交地条件。</w:t>
            </w:r>
          </w:p>
          <w:p>
            <w:pPr>
              <w:pStyle w:val="null3"/>
              <w:ind w:firstLine="640"/>
              <w:jc w:val="both"/>
            </w:pPr>
            <w:r>
              <w:rPr>
                <w:rFonts w:ascii="仿宋_GB2312" w:hAnsi="仿宋_GB2312" w:cs="仿宋_GB2312" w:eastAsia="仿宋_GB2312"/>
                <w:sz w:val="21"/>
              </w:rPr>
              <w:t>（二）运距要求</w:t>
            </w:r>
          </w:p>
          <w:p>
            <w:pPr>
              <w:pStyle w:val="null3"/>
              <w:ind w:firstLine="640"/>
              <w:jc w:val="both"/>
            </w:pPr>
            <w:r>
              <w:rPr>
                <w:rFonts w:ascii="仿宋_GB2312" w:hAnsi="仿宋_GB2312" w:cs="仿宋_GB2312" w:eastAsia="仿宋_GB2312"/>
                <w:sz w:val="21"/>
              </w:rPr>
              <w:t>1、该项目实施时如垃圾倾倒点改变成交单位需有自行协调垃圾倾倒点的能力。</w:t>
            </w:r>
          </w:p>
          <w:p>
            <w:pPr>
              <w:pStyle w:val="null3"/>
              <w:ind w:firstLine="640"/>
              <w:jc w:val="both"/>
            </w:pPr>
            <w:r>
              <w:rPr>
                <w:rFonts w:ascii="仿宋_GB2312" w:hAnsi="仿宋_GB2312" w:cs="仿宋_GB2312" w:eastAsia="仿宋_GB2312"/>
                <w:sz w:val="21"/>
              </w:rPr>
              <w:t>2、该项目预算审核运距为63公里，由垃圾倾倒点改变引起的运距增加不做调整。</w:t>
            </w:r>
          </w:p>
          <w:p>
            <w:pPr>
              <w:pStyle w:val="null3"/>
              <w:ind w:firstLine="643"/>
              <w:jc w:val="both"/>
            </w:pPr>
            <w:r>
              <w:rPr>
                <w:rFonts w:ascii="仿宋_GB2312" w:hAnsi="仿宋_GB2312" w:cs="仿宋_GB2312" w:eastAsia="仿宋_GB2312"/>
                <w:sz w:val="21"/>
                <w:b/>
              </w:rPr>
              <w:t>三、执行的法律法规、技术规范</w:t>
            </w:r>
          </w:p>
          <w:p>
            <w:pPr>
              <w:pStyle w:val="null3"/>
              <w:ind w:firstLine="640"/>
              <w:jc w:val="both"/>
            </w:pPr>
            <w:r>
              <w:rPr>
                <w:rFonts w:ascii="仿宋_GB2312" w:hAnsi="仿宋_GB2312" w:cs="仿宋_GB2312" w:eastAsia="仿宋_GB2312"/>
                <w:sz w:val="21"/>
              </w:rPr>
              <w:t xml:space="preserve">执行的法律法规、技术规范包括但不限于以下规定、规范、标准：《安全生产法》、《建设工程安全生产管理条例》、《西安市扬尘污染防治条例》、《西安市建筑垃圾管理办法》、《西安高新区治污减霾网格化管理工作实施方案》。  </w:t>
            </w:r>
          </w:p>
          <w:p>
            <w:pPr>
              <w:pStyle w:val="null3"/>
              <w:ind w:firstLine="630"/>
              <w:jc w:val="both"/>
            </w:pPr>
            <w:r>
              <w:rPr>
                <w:rFonts w:ascii="仿宋_GB2312" w:hAnsi="仿宋_GB2312" w:cs="仿宋_GB2312" w:eastAsia="仿宋_GB2312"/>
                <w:sz w:val="21"/>
                <w:b/>
              </w:rPr>
              <w:t>四、其他要求</w:t>
            </w:r>
          </w:p>
          <w:p>
            <w:pPr>
              <w:pStyle w:val="null3"/>
              <w:ind w:firstLine="640"/>
              <w:jc w:val="both"/>
            </w:pPr>
            <w:r>
              <w:rPr>
                <w:rFonts w:ascii="仿宋_GB2312" w:hAnsi="仿宋_GB2312" w:cs="仿宋_GB2312" w:eastAsia="仿宋_GB2312"/>
                <w:sz w:val="21"/>
              </w:rPr>
              <w:t>施工单位要严格按照技术规范执行清表作业，必须在指定作业区域内施工，不得擅自变更作业地点，另自行协调与周边村庄关系。</w:t>
            </w:r>
          </w:p>
          <w:p>
            <w:pPr>
              <w:pStyle w:val="null3"/>
              <w:ind w:firstLine="640"/>
              <w:jc w:val="both"/>
            </w:pPr>
            <w:r>
              <w:rPr>
                <w:rFonts w:ascii="仿宋_GB2312" w:hAnsi="仿宋_GB2312" w:cs="仿宋_GB2312" w:eastAsia="仿宋_GB2312"/>
                <w:sz w:val="21"/>
                <w:b/>
              </w:rPr>
              <w:t>五、付款方式</w:t>
            </w:r>
          </w:p>
          <w:p>
            <w:pPr>
              <w:pStyle w:val="null3"/>
              <w:ind w:firstLine="640"/>
              <w:jc w:val="both"/>
            </w:pPr>
            <w:r>
              <w:rPr>
                <w:rFonts w:ascii="仿宋_GB2312" w:hAnsi="仿宋_GB2312" w:cs="仿宋_GB2312" w:eastAsia="仿宋_GB2312"/>
                <w:sz w:val="21"/>
              </w:rPr>
              <w:t>自合同签订后预付合同额40%，项目验收合格后付至合同金额的70%，待项目结算评审结束后支付至结算金额的100%。</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的法律法规、技术规范包括但不限于以下规定、规范、标准：《安全生产法》、《建设工程安全生产管理条例》、《西安市扬尘污染防治条例》、《西安市建筑垃圾管理办法》、《西安高新区治污减霾网格化管理工作实施方案》。</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施工单位要严格按照技术规范执行清表作业，必须在指定作业区域内施工，不得擅自变更作业地点，另自行协调与周边村庄关系。</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第一部分资格证明文件.docx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经审计资质单位出具的2024年度的财务审计报告，成立时间至提交投标文件截止时间不足一年的可提供成立后任意时段的资产负债表；或其开标前六个月内基本存款账户开户银行出具的资信证明。（以上两种形式的资料提供任何一种即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第一部分资格证明文件.docx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第一部分资格证明文件.docx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提供有效存续的企业营业执照（副本）/事业单位法人证书/专业服务机构执业许可证/民办非企业单位登记证书/自然人身份证明；</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w:t>
            </w:r>
          </w:p>
        </w:tc>
        <w:tc>
          <w:tcPr>
            <w:tcW w:type="dxa" w:w="3322"/>
          </w:tcPr>
          <w:p>
            <w:pPr>
              <w:pStyle w:val="null3"/>
            </w:pPr>
            <w:r>
              <w:rPr>
                <w:rFonts w:ascii="仿宋_GB2312" w:hAnsi="仿宋_GB2312" w:cs="仿宋_GB2312" w:eastAsia="仿宋_GB2312"/>
              </w:rPr>
              <w:t>提供《基本资格条件承诺函》，供应商应对承诺内容的真实性、合法性、有效性负责。经调查核实为虚假承诺的，视同为“提供虚假材料谋取中标、成交”的违法行为，依照《中华人民共和国政府采购法》等法律法规追究相应责任。 不提供《基本资格条件承诺函》的供应商需提交如下资格证明文件： ①财务状况报告：提供具有经审计资质单位出具的2024年度的财务审计报告，成立时间至提交投标文件截止时间不足一年的可提供成立后任意时段的资产负债表；或其开标前六个月内基本存款账户开户银行出具的资信证明。（以上两种形式的资料提供任何一种即可）； ②提供具有履行合同所必需的设备和专业技术能力的承诺； ③提供开标时间前6个月内任意时段的纳税证明或完税证明（除印花税外任意税种），纳税证明或完税证明上应有代收机构或税务机关的公章或业务专用章。依法免税的供应商应提供相关文件证明； ④提供开标时间前6个月内任意时段的社会保障资金缴存单据或社保机构开具的社会保险参保缴费情况证明，依法不需要缴纳社会保障资金的单位应提供相关证明材料； ⑤参加政府采购活动前3年内，在经营活动中没有重大违法记录的书面声明。</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本项目专门面向中小企业采购，供应商应为中小微企业或监狱企业或残疾人福利性单位。</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法定代表人（或负责人）身份证明/法定代表人（或负责人）授权委托书</w:t>
            </w:r>
          </w:p>
        </w:tc>
        <w:tc>
          <w:tcPr>
            <w:tcW w:type="dxa" w:w="3322"/>
          </w:tcPr>
          <w:p>
            <w:pPr>
              <w:pStyle w:val="null3"/>
            </w:pPr>
            <w:r>
              <w:rPr>
                <w:rFonts w:ascii="仿宋_GB2312" w:hAnsi="仿宋_GB2312" w:cs="仿宋_GB2312" w:eastAsia="仿宋_GB2312"/>
              </w:rPr>
              <w:t>法定代表人（或负责人）直接参加投标的，须提供法定代表人（或负责人）身份证明及其身份证电子件或扫描件；法定代表人（或负责人）授权他人参加投标的，须提供法定代表人（或负责人）授权委托书（附法定代表人（或负责人）、被授权人身份证电子件或扫描件）。</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页面跳转至“中国执行信息公开网”http://zxgk.court.gov.cn/shixin/）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特定资格条件</w:t>
            </w:r>
          </w:p>
        </w:tc>
        <w:tc>
          <w:tcPr>
            <w:tcW w:type="dxa" w:w="3322"/>
          </w:tcPr>
          <w:p>
            <w:pPr>
              <w:pStyle w:val="null3"/>
            </w:pPr>
            <w:r>
              <w:rPr>
                <w:rFonts w:ascii="仿宋_GB2312" w:hAnsi="仿宋_GB2312" w:cs="仿宋_GB2312" w:eastAsia="仿宋_GB2312"/>
              </w:rPr>
              <w:t>供应商具备建设行政主管部门颁发的建筑工程施工总承包三级（含）及以上资质，且具有有效的安全生产许可证；</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基本信息要求</w:t>
            </w:r>
          </w:p>
        </w:tc>
        <w:tc>
          <w:tcPr>
            <w:tcW w:type="dxa" w:w="3322"/>
          </w:tcPr>
          <w:p>
            <w:pPr>
              <w:pStyle w:val="null3"/>
            </w:pPr>
            <w:r>
              <w:rPr>
                <w:rFonts w:ascii="仿宋_GB2312" w:hAnsi="仿宋_GB2312" w:cs="仿宋_GB2312" w:eastAsia="仿宋_GB2312"/>
              </w:rPr>
              <w:t>供应商资质基本信息应在“陕西省住房和城乡建设厅网（http://js.shaanxi.gov.cn/）”可查询；</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供应商书面声明</w:t>
            </w:r>
          </w:p>
        </w:tc>
        <w:tc>
          <w:tcPr>
            <w:tcW w:type="dxa" w:w="3322"/>
          </w:tcPr>
          <w:p>
            <w:pPr>
              <w:pStyle w:val="null3"/>
            </w:pPr>
            <w:r>
              <w:rPr>
                <w:rFonts w:ascii="仿宋_GB2312" w:hAnsi="仿宋_GB2312" w:cs="仿宋_GB2312" w:eastAsia="仿宋_GB2312"/>
              </w:rPr>
              <w:t>供应商未为本项目提供整体设计、规范编制或者项目管理、监理、检测等服务的书面声明。</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供应商参与磋商的承诺函</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第一部分资格证明文件.docx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竞争性磋商响应文件的签署盖章</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响应文件封面 报价函 标的清单 第一部分资格证明文件.docx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第二部分符合性证明文件.docx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无其他竞争性磋商文件或法律法规明确规定响应无效的事项</w:t>
            </w:r>
          </w:p>
        </w:tc>
        <w:tc>
          <w:tcPr>
            <w:tcW w:type="dxa" w:w="3322"/>
          </w:tcPr>
          <w:p>
            <w:pPr>
              <w:pStyle w:val="null3"/>
            </w:pPr>
            <w:r>
              <w:rPr>
                <w:rFonts w:ascii="仿宋_GB2312" w:hAnsi="仿宋_GB2312" w:cs="仿宋_GB2312" w:eastAsia="仿宋_GB2312"/>
              </w:rPr>
              <w:t>没有不符合竞争性磋商文件及法律法规规定的被视为无效响应的其他条款</w:t>
            </w:r>
          </w:p>
        </w:tc>
        <w:tc>
          <w:tcPr>
            <w:tcW w:type="dxa" w:w="1661"/>
          </w:tcPr>
          <w:p>
            <w:pPr>
              <w:pStyle w:val="null3"/>
            </w:pPr>
            <w:r>
              <w:rPr>
                <w:rFonts w:ascii="仿宋_GB2312" w:hAnsi="仿宋_GB2312" w:cs="仿宋_GB2312" w:eastAsia="仿宋_GB2312"/>
              </w:rPr>
              <w:t>第二部分符合性证明文件.docx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针对本项目各项要求制定施工方案。 方案全面、合理、规范，可操作性强得6分； 方案比较合理和规范，有一定的可操作性得5分； 方案比较合理，有可操作性得4分； 方案基本合理，可操作性不强得3分； 方案基本合理，可操作性一般得2分； 方案简单，可操作性差得1分； 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针对本项目有确保工程质量的技术组织措施。 措施内容全面、具体、科学，可行性强，得6分； 措施内容相对全面、具体、科学，可行性相对较强，得5分； 措施内容基本全面、具体，有一定的可行性，得4分； 措施内容不够全面、具体，可行性相对较弱，得3分； 措施内容不全面、具体，可行性较差，得2分； 措施内容笼统，可行性有待考究的，得1分； 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第三部分磋商响应方案.docx</w:t>
            </w:r>
          </w:p>
        </w:tc>
      </w:tr>
      <w:tr>
        <w:tc>
          <w:tcPr>
            <w:tcW w:type="dxa" w:w="831"/>
            <w:vMerge/>
          </w:tcPr>
          <w:p/>
        </w:tc>
        <w:tc>
          <w:tcPr>
            <w:tcW w:type="dxa" w:w="1661"/>
          </w:tcPr>
          <w:p>
            <w:pPr>
              <w:pStyle w:val="null3"/>
            </w:pPr>
            <w:r>
              <w:rPr>
                <w:rFonts w:ascii="仿宋_GB2312" w:hAnsi="仿宋_GB2312" w:cs="仿宋_GB2312" w:eastAsia="仿宋_GB2312"/>
              </w:rPr>
              <w:t>项目经理部组成人员</w:t>
            </w:r>
          </w:p>
        </w:tc>
        <w:tc>
          <w:tcPr>
            <w:tcW w:type="dxa" w:w="2492"/>
          </w:tcPr>
          <w:p>
            <w:pPr>
              <w:pStyle w:val="null3"/>
            </w:pPr>
            <w:r>
              <w:rPr>
                <w:rFonts w:ascii="仿宋_GB2312" w:hAnsi="仿宋_GB2312" w:cs="仿宋_GB2312" w:eastAsia="仿宋_GB2312"/>
              </w:rPr>
              <w:t>针对本项目拟投入项目经理部组成人员结构合理，人员配备齐全，责任明确，佐证材料齐全得6分； 针对本项目拟投入项目经理部组成人员结构相对合理，人员配备相对齐全，责任相对明确，有相关佐证材料得5分； 针对本项目拟投入项目经理部组成人员结构基本合理，人员配备基本齐全，责任基本明确，有相关佐证材料得4分； 针对本项目拟投入项目经理部组成人员结构不够合理，人员配备不够齐全，责任不太明确，相关佐证材料缺失得3分； 针对本项目拟投入项目经理部组成人员结构不合理，人员配备不齐全，责任不明确，相关佐证材料缺失得2分； 针对本项目拟投入项目经理部组成人员内容笼统，可行性有待考究的，得1分； 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第三部分磋商响应方案.docx</w:t>
            </w:r>
          </w:p>
        </w:tc>
      </w:tr>
      <w:tr>
        <w:tc>
          <w:tcPr>
            <w:tcW w:type="dxa" w:w="831"/>
            <w:vMerge/>
          </w:tcPr>
          <w:p/>
        </w:tc>
        <w:tc>
          <w:tcPr>
            <w:tcW w:type="dxa" w:w="1661"/>
          </w:tcPr>
          <w:p>
            <w:pPr>
              <w:pStyle w:val="null3"/>
            </w:pPr>
            <w:r>
              <w:rPr>
                <w:rFonts w:ascii="仿宋_GB2312" w:hAnsi="仿宋_GB2312" w:cs="仿宋_GB2312" w:eastAsia="仿宋_GB2312"/>
              </w:rPr>
              <w:t>确保工程安全的保证措施</w:t>
            </w:r>
          </w:p>
        </w:tc>
        <w:tc>
          <w:tcPr>
            <w:tcW w:type="dxa" w:w="2492"/>
          </w:tcPr>
          <w:p>
            <w:pPr>
              <w:pStyle w:val="null3"/>
            </w:pPr>
            <w:r>
              <w:rPr>
                <w:rFonts w:ascii="仿宋_GB2312" w:hAnsi="仿宋_GB2312" w:cs="仿宋_GB2312" w:eastAsia="仿宋_GB2312"/>
              </w:rPr>
              <w:t>针对本项目的特点、不同的施工工艺、施工场地及施工环境等，有详细完整的安全保证措施。 措施内容全面、具体、科学，可行性强，得6分； 措施内容相对全面、具体、科学，可行性相对较强，得5分； 措施内容基本全面、具体，有一定的可行性，得4分； 措施内容不够全面、具体，可行性相对较弱，得3分； 措施内容不全面、具体，可行性较差，得2分； 措施内容笼统，可行性有待考究的，得1分； 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针对本项目，有具体、可行的确保工期的文明施工措施。 措施内容全面、具体、科学，可行性强，得6分； 措施内容相对全面、具体、科学，可行性相对较强，得5分； 措施内容基本全面、具体，有一定的可行性，得4分； 措施内容不够全面、具体，可行性相对较弱，得3分； 措施内容不全面、具体，可行性较差，得2分； 措施内容笼统，可行性有待考究的，得1分； 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第三部分磋商响应方案.docx</w:t>
            </w:r>
          </w:p>
        </w:tc>
      </w:tr>
      <w:tr>
        <w:tc>
          <w:tcPr>
            <w:tcW w:type="dxa" w:w="831"/>
            <w:vMerge/>
          </w:tcPr>
          <w:p/>
        </w:tc>
        <w:tc>
          <w:tcPr>
            <w:tcW w:type="dxa" w:w="1661"/>
          </w:tcPr>
          <w:p>
            <w:pPr>
              <w:pStyle w:val="null3"/>
            </w:pPr>
            <w:r>
              <w:rPr>
                <w:rFonts w:ascii="仿宋_GB2312" w:hAnsi="仿宋_GB2312" w:cs="仿宋_GB2312" w:eastAsia="仿宋_GB2312"/>
              </w:rPr>
              <w:t>拟投入主要施工机具、设备及材料投入计划</w:t>
            </w:r>
          </w:p>
        </w:tc>
        <w:tc>
          <w:tcPr>
            <w:tcW w:type="dxa" w:w="2492"/>
          </w:tcPr>
          <w:p>
            <w:pPr>
              <w:pStyle w:val="null3"/>
            </w:pPr>
            <w:r>
              <w:rPr>
                <w:rFonts w:ascii="仿宋_GB2312" w:hAnsi="仿宋_GB2312" w:cs="仿宋_GB2312" w:eastAsia="仿宋_GB2312"/>
              </w:rPr>
              <w:t>针对本项目拟投入的主要施工机具、设备及材料投入计划方案。 方案全面、合理、规范，可操作性强得6分； 方案比较合理和规范，有一定的可操作性得5分； 方案比较合理，有可操作性得4分； 方案基本合理，可操作性不强得3分； 方案基本合理，可操作性一般得2分； 方案简单，可操作性差得1分； 无方案不得分。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第三部分磋商响应方案.docx</w:t>
            </w:r>
          </w:p>
        </w:tc>
      </w:tr>
      <w:tr>
        <w:tc>
          <w:tcPr>
            <w:tcW w:type="dxa" w:w="831"/>
            <w:vMerge/>
          </w:tcPr>
          <w:p/>
        </w:tc>
        <w:tc>
          <w:tcPr>
            <w:tcW w:type="dxa" w:w="1661"/>
          </w:tcPr>
          <w:p>
            <w:pPr>
              <w:pStyle w:val="null3"/>
            </w:pPr>
            <w:r>
              <w:rPr>
                <w:rFonts w:ascii="仿宋_GB2312" w:hAnsi="仿宋_GB2312" w:cs="仿宋_GB2312" w:eastAsia="仿宋_GB2312"/>
              </w:rPr>
              <w:t>确保环境保护的技术组织措施</w:t>
            </w:r>
          </w:p>
        </w:tc>
        <w:tc>
          <w:tcPr>
            <w:tcW w:type="dxa" w:w="2492"/>
          </w:tcPr>
          <w:p>
            <w:pPr>
              <w:pStyle w:val="null3"/>
            </w:pPr>
            <w:r>
              <w:rPr>
                <w:rFonts w:ascii="仿宋_GB2312" w:hAnsi="仿宋_GB2312" w:cs="仿宋_GB2312" w:eastAsia="仿宋_GB2312"/>
              </w:rPr>
              <w:t>针对本项目，有具体、可行的环境保护措施。 措施全面、合理、规范，可操作性强得6分； 措施比较合理和规范，有一定的可操作性得5分； 措施比较合理，有可操作性得4分； 措施基本合理，可操作性不强得3分； 措施基本合理，可操作性一般得2分； 措施简单，可操作性差得1分； 无方案不得分。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第三部分磋商响应方案.docx</w:t>
            </w:r>
          </w:p>
        </w:tc>
      </w:tr>
      <w:tr>
        <w:tc>
          <w:tcPr>
            <w:tcW w:type="dxa" w:w="831"/>
            <w:vMerge/>
          </w:tcPr>
          <w:p/>
        </w:tc>
        <w:tc>
          <w:tcPr>
            <w:tcW w:type="dxa" w:w="1661"/>
          </w:tcPr>
          <w:p>
            <w:pPr>
              <w:pStyle w:val="null3"/>
            </w:pPr>
            <w:r>
              <w:rPr>
                <w:rFonts w:ascii="仿宋_GB2312" w:hAnsi="仿宋_GB2312" w:cs="仿宋_GB2312" w:eastAsia="仿宋_GB2312"/>
              </w:rPr>
              <w:t>项目进度计划</w:t>
            </w:r>
          </w:p>
        </w:tc>
        <w:tc>
          <w:tcPr>
            <w:tcW w:type="dxa" w:w="2492"/>
          </w:tcPr>
          <w:p>
            <w:pPr>
              <w:pStyle w:val="null3"/>
            </w:pPr>
            <w:r>
              <w:rPr>
                <w:rFonts w:ascii="仿宋_GB2312" w:hAnsi="仿宋_GB2312" w:cs="仿宋_GB2312" w:eastAsia="仿宋_GB2312"/>
              </w:rPr>
              <w:t>根据本项目的具体情况，设置合理的进度控制点，制定周到、全面、具体的进度计划，同时有科学、合理的施工进度表或施工网络图。能够充分考虑计划，均衡资源，满足工期和质量。 进度计划全面、科学、合理性强，得6分； 进度计划相对全面、科学、合理性较强，得5分； 进度计划基本全面、较科学、有一定的合理性，得4分； 进度计划不够全面、科学、合理性相对较弱，得3分； 进度计划不全面、科学、合理性较差，得2分； 进度计划笼统，合理性有待考究的，得1分； 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第三部分磋商响应方案.docx</w:t>
            </w:r>
          </w:p>
        </w:tc>
      </w:tr>
      <w:tr>
        <w:tc>
          <w:tcPr>
            <w:tcW w:type="dxa" w:w="831"/>
            <w:vMerge/>
          </w:tcPr>
          <w:p/>
        </w:tc>
        <w:tc>
          <w:tcPr>
            <w:tcW w:type="dxa" w:w="1661"/>
          </w:tcPr>
          <w:p>
            <w:pPr>
              <w:pStyle w:val="null3"/>
            </w:pPr>
            <w:r>
              <w:rPr>
                <w:rFonts w:ascii="仿宋_GB2312" w:hAnsi="仿宋_GB2312" w:cs="仿宋_GB2312" w:eastAsia="仿宋_GB2312"/>
              </w:rPr>
              <w:t>施工现场扬尘、噪音保障措施</w:t>
            </w:r>
          </w:p>
        </w:tc>
        <w:tc>
          <w:tcPr>
            <w:tcW w:type="dxa" w:w="2492"/>
          </w:tcPr>
          <w:p>
            <w:pPr>
              <w:pStyle w:val="null3"/>
            </w:pPr>
            <w:r>
              <w:rPr>
                <w:rFonts w:ascii="仿宋_GB2312" w:hAnsi="仿宋_GB2312" w:cs="仿宋_GB2312" w:eastAsia="仿宋_GB2312"/>
              </w:rPr>
              <w:t>提供避免或减小噪音、粉尘扬尘及震动的相关措施。 措施内容全面、具体、科学，可行性强，得6分； 措施内容相对全面、具体、科学，可行性相对较强，得5分； 措施内容基本全面、具体，有一定的可行性，得4分； 措施内容不够全面、具体，可行性相对较弱，得3分； 措施内容不全面、具体，可行性较差，得2分； 措施内容笼统，可行性有待考究的，得1分； 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第三部分磋商响应方案.docx</w:t>
            </w:r>
          </w:p>
        </w:tc>
      </w:tr>
      <w:tr>
        <w:tc>
          <w:tcPr>
            <w:tcW w:type="dxa" w:w="831"/>
            <w:vMerge/>
          </w:tcPr>
          <w:p/>
        </w:tc>
        <w:tc>
          <w:tcPr>
            <w:tcW w:type="dxa" w:w="1661"/>
          </w:tcPr>
          <w:p>
            <w:pPr>
              <w:pStyle w:val="null3"/>
            </w:pPr>
            <w:r>
              <w:rPr>
                <w:rFonts w:ascii="仿宋_GB2312" w:hAnsi="仿宋_GB2312" w:cs="仿宋_GB2312" w:eastAsia="仿宋_GB2312"/>
              </w:rPr>
              <w:t>建筑垃圾清运倾倒方案</w:t>
            </w:r>
          </w:p>
        </w:tc>
        <w:tc>
          <w:tcPr>
            <w:tcW w:type="dxa" w:w="2492"/>
          </w:tcPr>
          <w:p>
            <w:pPr>
              <w:pStyle w:val="null3"/>
            </w:pPr>
            <w:r>
              <w:rPr>
                <w:rFonts w:ascii="仿宋_GB2312" w:hAnsi="仿宋_GB2312" w:cs="仿宋_GB2312" w:eastAsia="仿宋_GB2312"/>
              </w:rPr>
              <w:t>建筑垃圾按当地有关规定倾倒，不任意倾倒、抛洒或者堆放垃圾；不在运输过程中沿途丢弃、遗撒。 方案完整、合理、全面、可行、针对性和可行性强的得5分； 方案完整、合理、全面，具有可行性和针对性的得4分； 方案基本完整、合理、全面、基本具有可行性和针对性的得3分； 方案简单但有一定合理性和可行性的得2分； 方案简单，合理性、可行性和针对性差的得1分； 无内容不得分。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第三部分磋商响应方案.docx</w:t>
            </w:r>
          </w:p>
        </w:tc>
      </w:tr>
      <w:tr>
        <w:tc>
          <w:tcPr>
            <w:tcW w:type="dxa" w:w="831"/>
            <w:vMerge/>
          </w:tcPr>
          <w:p/>
        </w:tc>
        <w:tc>
          <w:tcPr>
            <w:tcW w:type="dxa" w:w="1661"/>
          </w:tcPr>
          <w:p>
            <w:pPr>
              <w:pStyle w:val="null3"/>
            </w:pPr>
            <w:r>
              <w:rPr>
                <w:rFonts w:ascii="仿宋_GB2312" w:hAnsi="仿宋_GB2312" w:cs="仿宋_GB2312" w:eastAsia="仿宋_GB2312"/>
              </w:rPr>
              <w:t>劳动力安排计划方案</w:t>
            </w:r>
          </w:p>
        </w:tc>
        <w:tc>
          <w:tcPr>
            <w:tcW w:type="dxa" w:w="2492"/>
          </w:tcPr>
          <w:p>
            <w:pPr>
              <w:pStyle w:val="null3"/>
            </w:pPr>
            <w:r>
              <w:rPr>
                <w:rFonts w:ascii="仿宋_GB2312" w:hAnsi="仿宋_GB2312" w:cs="仿宋_GB2312" w:eastAsia="仿宋_GB2312"/>
              </w:rPr>
              <w:t>根据本项目的具体情况，有具体、可行的劳动力安排计划方案。 方案完整、合理、全面、可行、针对性和可行性强的得5分； 方案完整、合理、全面，有一定的可行性和针对性的得4分； 方案基本完整、合理、全面、可行性和针对性较差的得3分； 方案简单但有一定合理性和可行性的得2分； 方案简单，合理性、可行性和针对性差的得1分； 无内容不得分。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第三部分磋商响应方案.docx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提供2022年1月1日以来类似项目业绩。以合同签订日期为准，并加盖供应商公章的合同关键页复印件为计分依据，每份合格业绩合同计2分，满分6分。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第三部分磋商响应方案.docx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磋商报价得分=（磋商基准价/最后磋商报价）×30的公式计算其得分。 磋商报价不完整的，不进入评审基准价的计算，本项得0分。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详见附件：第一部分资格证明文件.docx</w:t>
      </w:r>
    </w:p>
    <w:p>
      <w:pPr>
        <w:pStyle w:val="null3"/>
        <w:ind w:firstLine="960"/>
      </w:pPr>
      <w:r>
        <w:rPr>
          <w:rFonts w:ascii="仿宋_GB2312" w:hAnsi="仿宋_GB2312" w:cs="仿宋_GB2312" w:eastAsia="仿宋_GB2312"/>
        </w:rPr>
        <w:t>详见附件：第二部分符合性证明文件.docx</w:t>
      </w:r>
    </w:p>
    <w:p>
      <w:pPr>
        <w:pStyle w:val="null3"/>
        <w:ind w:firstLine="960"/>
      </w:pPr>
      <w:r>
        <w:rPr>
          <w:rFonts w:ascii="仿宋_GB2312" w:hAnsi="仿宋_GB2312" w:cs="仿宋_GB2312" w:eastAsia="仿宋_GB2312"/>
        </w:rPr>
        <w:t>详见附件：第三部分磋商响应方案.docx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详见附件：【秦渡街道汉唐森源（二期）清表、垃圾清运项目】拟签订采购合同文本.docx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