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版本号：HXGJXM2025-ZC-CS112320260108001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罗汉寺安防工程(二次)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HXGJXM2025-ZC-CS1123</w:t>
      </w:r>
      <w:r>
        <w:br/>
      </w:r>
      <w:r>
        <w:br/>
      </w:r>
      <w:r>
        <w:br/>
      </w:r>
    </w:p>
    <w:p>
      <w:pPr>
        <w:pStyle w:val="null3"/>
        <w:jc w:val="center"/>
        <w:outlineLvl w:val="2"/>
      </w:pPr>
      <w:r>
        <w:rPr>
          <w:rFonts w:ascii="仿宋_GB2312" w:hAnsi="仿宋_GB2312" w:cs="仿宋_GB2312" w:eastAsia="仿宋_GB2312"/>
          <w:sz w:val="28"/>
          <w:b/>
        </w:rPr>
        <w:t>西安高新技术产业开发区宣传文旅局</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西安高新技术产业开发区宣传文旅局</w:t>
      </w:r>
      <w:r>
        <w:rPr>
          <w:rFonts w:ascii="仿宋_GB2312" w:hAnsi="仿宋_GB2312" w:cs="仿宋_GB2312" w:eastAsia="仿宋_GB2312"/>
        </w:rPr>
        <w:t>委托，拟对</w:t>
      </w:r>
      <w:r>
        <w:rPr>
          <w:rFonts w:ascii="仿宋_GB2312" w:hAnsi="仿宋_GB2312" w:cs="仿宋_GB2312" w:eastAsia="仿宋_GB2312"/>
        </w:rPr>
        <w:t>罗汉寺安防工程(二次)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HXGJXM2025-ZC-CS1123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罗汉寺安防工程(二次)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罗汉寺安防工程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采购包1（罗汉寺安防工程）：属于专门面向小微企业采购。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授权书（附法定代表人、被授权人身份证复印件及被授权人磋商截止日前一年内已缴存的至少一个月的社会保障资金凭证）；法定代表人直接参加磋商，须提供法定代表人身份证明。</w:t>
      </w:r>
    </w:p>
    <w:p>
      <w:pPr>
        <w:pStyle w:val="null3"/>
      </w:pPr>
      <w:r>
        <w:rPr>
          <w:rFonts w:ascii="仿宋_GB2312" w:hAnsi="仿宋_GB2312" w:cs="仿宋_GB2312" w:eastAsia="仿宋_GB2312"/>
        </w:rPr>
        <w:t>2、项目负责人资质和专业：1、供应商具备电子与智能化工程专业承包二级及以上资质并具有有效的安全生产许可证； 2、拟派项目经理具备机电工程专业注册建造师二级及以上执业资格，具备有效的安全生产考核合格证，在本单位注册，且无在建项目（提供相关承诺书）</w:t>
      </w:r>
    </w:p>
    <w:p>
      <w:pPr>
        <w:pStyle w:val="null3"/>
      </w:pPr>
      <w:r>
        <w:rPr>
          <w:rFonts w:ascii="仿宋_GB2312" w:hAnsi="仿宋_GB2312" w:cs="仿宋_GB2312" w:eastAsia="仿宋_GB2312"/>
        </w:rPr>
        <w:t>3、信用记录：供应商未被“信用中国”网站（www.creditchina.gov.cn）列入失信被执行人和重大税收违法失信主体，未被中国政府采购网（www.ccgp.gov.cn）列入政府采购严重违法失信行为记录名单</w:t>
      </w:r>
    </w:p>
    <w:p>
      <w:pPr>
        <w:pStyle w:val="null3"/>
      </w:pPr>
      <w:r>
        <w:rPr>
          <w:rFonts w:ascii="仿宋_GB2312" w:hAnsi="仿宋_GB2312" w:cs="仿宋_GB2312" w:eastAsia="仿宋_GB2312"/>
        </w:rPr>
        <w:t>4、非联合体：本项目不接受联合体投标。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西安高新技术产业开发区宣传文旅局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西安高新技术产业开发区锦业路1号都市之门B座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81150232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宋文倩、康敏茹、张艳萍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029-88899972-822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采购包1：640,200.00元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代理服务费收费标准：定额：10000元 户名：华夏国际项目管理（西安）有限公司第一分公司 开户行：中国光大银行股份有限公司西安南二环支行 账号：78620188000199459 请中标供应商按照要求将服务费汇入以上指定账户，如因自身原因发生错误，产生的不利后果均由供应商自行承担。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西安高新技术产业开发区宣传文旅局</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西安高新技术产业开发区宣传文旅局</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西安高新技术产业开发区宣传文旅局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华夏国际项目管理（西安）有限公司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联系人：宋文倩、康敏茹、张艳萍</w:t>
      </w:r>
    </w:p>
    <w:p>
      <w:pPr>
        <w:pStyle w:val="null3"/>
      </w:pPr>
      <w:r>
        <w:rPr>
          <w:rFonts w:ascii="仿宋_GB2312" w:hAnsi="仿宋_GB2312" w:cs="仿宋_GB2312" w:eastAsia="仿宋_GB2312"/>
        </w:rPr>
        <w:t>联系电话：029-88899972-822</w:t>
      </w:r>
    </w:p>
    <w:p>
      <w:pPr>
        <w:pStyle w:val="null3"/>
      </w:pPr>
      <w:r>
        <w:rPr>
          <w:rFonts w:ascii="仿宋_GB2312" w:hAnsi="仿宋_GB2312" w:cs="仿宋_GB2312" w:eastAsia="仿宋_GB2312"/>
        </w:rPr>
        <w:t>地址：陕西省西安市莲湖区二环南路西段202号九座花园16层1605室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640,200.00</w:t>
      </w:r>
    </w:p>
    <w:p>
      <w:pPr>
        <w:pStyle w:val="null3"/>
      </w:pPr>
      <w:r>
        <w:rPr>
          <w:rFonts w:ascii="仿宋_GB2312" w:hAnsi="仿宋_GB2312" w:cs="仿宋_GB2312" w:eastAsia="仿宋_GB2312"/>
        </w:rPr>
        <w:t>采购包最高限价（元）: 640,200.00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罗汉寺安防</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640,200.00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标的名称：罗汉寺安防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1、按照《罗汉寺安防工程设计方案》要求，罗汉寺安防工程范围覆盖罗汉寺保护范围内诸佛殿和石刻等文物。工程内容主要包括入侵报警系统、视频监管控制系统、电子门禁系统、传输系统、供电系统等。</w:t>
            </w:r>
          </w:p>
          <w:p>
            <w:pPr>
              <w:pStyle w:val="null3"/>
            </w:pPr>
            <w:r>
              <w:rPr>
                <w:rFonts w:ascii="仿宋_GB2312" w:hAnsi="仿宋_GB2312" w:cs="仿宋_GB2312" w:eastAsia="仿宋_GB2312"/>
              </w:rPr>
              <w:t>2、采用广联达云计价平台GCCP7.0-7.5000.23.2版本编制导出的报价表、已报价的电子标书。</w:t>
            </w:r>
          </w:p>
          <w:p>
            <w:pPr>
              <w:pStyle w:val="null3"/>
            </w:pPr>
            <w:r>
              <w:rPr>
                <w:rFonts w:ascii="仿宋_GB2312" w:hAnsi="仿宋_GB2312" w:cs="仿宋_GB2312" w:eastAsia="仿宋_GB2312"/>
              </w:rPr>
              <w:t>3、工程量清单编制依据</w:t>
            </w:r>
          </w:p>
          <w:p>
            <w:pPr>
              <w:pStyle w:val="null3"/>
              <w:jc w:val="both"/>
            </w:pPr>
            <w:r>
              <w:rPr>
                <w:rFonts w:ascii="仿宋_GB2312" w:hAnsi="仿宋_GB2312" w:cs="仿宋_GB2312" w:eastAsia="仿宋_GB2312"/>
              </w:rPr>
              <w:t>陕西省《房屋建筑与装饰工程工程量计算标准》2025</w:t>
            </w:r>
          </w:p>
          <w:p>
            <w:pPr>
              <w:pStyle w:val="null3"/>
            </w:pPr>
            <w:r>
              <w:rPr>
                <w:rFonts w:ascii="仿宋_GB2312" w:hAnsi="仿宋_GB2312" w:cs="仿宋_GB2312" w:eastAsia="仿宋_GB2312"/>
              </w:rPr>
              <w:t>陕西省《通用安装工程工程量计算标准》2025</w:t>
            </w:r>
          </w:p>
          <w:p>
            <w:pPr>
              <w:pStyle w:val="null3"/>
            </w:pPr>
            <w:r>
              <w:rPr>
                <w:rFonts w:ascii="仿宋_GB2312" w:hAnsi="仿宋_GB2312" w:cs="仿宋_GB2312" w:eastAsia="仿宋_GB2312"/>
              </w:rPr>
              <w:t>《陕西省建设工程费用规则》（2025）</w:t>
            </w:r>
          </w:p>
          <w:p>
            <w:pPr>
              <w:pStyle w:val="null3"/>
            </w:pPr>
            <w:r>
              <w:rPr>
                <w:rFonts w:ascii="仿宋_GB2312" w:hAnsi="仿宋_GB2312" w:cs="仿宋_GB2312" w:eastAsia="仿宋_GB2312"/>
              </w:rPr>
              <w:t>《陕西省房屋建筑与装饰工程消耗量定额》（2025）</w:t>
            </w:r>
          </w:p>
          <w:p>
            <w:pPr>
              <w:pStyle w:val="null3"/>
            </w:pPr>
            <w:r>
              <w:rPr>
                <w:rFonts w:ascii="仿宋_GB2312" w:hAnsi="仿宋_GB2312" w:cs="仿宋_GB2312" w:eastAsia="仿宋_GB2312"/>
              </w:rPr>
              <w:t>《陕西省通用安装工程消耗量定额》（2025）</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1、工期：90日历天。工期总日历天数与根据前述计划开竣工日期计算的工期天数不一致的，以工期总日历天数为准。 2、质量保修期：自工程竣工验收合格之日起3年。 3、付款方式： （1）合同签订后支付合同总价款的40%； （2）工程竣工并将竣工资料交付甲方后，付至合同总价款的80%； （3）项目验收合格，将相关质量证明文件交付甲方后，付至审计审定价款的100%。 （4）乙方应于甲方每次付款前提供等额正规发票。最后一次付款时应提供剩余款项全额正规发票。</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提供合格有效的法人或者其他组织的营业执照等证明文件，自然人的身份证明；供应商是法人或其他组织的应提供营业执照等证明文件，供应商是自然人的应提供有效的自然人身份证明。 (2)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(3)提供递交响应文件截止之日前一年内任意一个月的依法缴纳税收的完税证明，完税证明应有税务机关或代收机关的公章或业务专用章。依法免税或无须缴纳税收的供应商，应提供相应证明文件； (4)提供磋商截止日前一年内已缴存的至少一个月的社会保障资金缴存单据或社保机构开具的社会保险参保缴 费情况证明，依法不需要缴纳社会保 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磋商资格证明文件.docx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磋商资格证明文件.docx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磋商资格证明文件.docx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法定代表人授权书（附法定代表人、被授权人身份证复印件及被授权人磋商截止日前一年内已缴存的至少一个月的社会保障资金凭证）；法定代表人直接参加磋商，须提供法定代表人身份证明。</w:t>
            </w:r>
          </w:p>
        </w:tc>
        <w:tc>
          <w:tcPr>
            <w:tcW w:type="dxa" w:w="1661"/>
          </w:tcPr>
          <w:p>
            <w:pPr>
              <w:pStyle w:val="null3"/>
            </w:pPr>
            <w:r>
              <w:rPr>
                <w:rFonts w:ascii="仿宋_GB2312" w:hAnsi="仿宋_GB2312" w:cs="仿宋_GB2312" w:eastAsia="仿宋_GB2312"/>
              </w:rPr>
              <w:t>项目管理机构组成表 商务条款偏离表及投入人员汇总.docx 磋商资格证明文件.docx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项目负责人资质和专业</w:t>
            </w:r>
          </w:p>
        </w:tc>
        <w:tc>
          <w:tcPr>
            <w:tcW w:type="dxa" w:w="3322"/>
          </w:tcPr>
          <w:p>
            <w:pPr>
              <w:pStyle w:val="null3"/>
            </w:pPr>
            <w:r>
              <w:rPr>
                <w:rFonts w:ascii="仿宋_GB2312" w:hAnsi="仿宋_GB2312" w:cs="仿宋_GB2312" w:eastAsia="仿宋_GB2312"/>
              </w:rPr>
              <w:t>1、供应商具备电子与智能化工程专业承包二级及以上资质并具有有效的安全生产许可证； 2、拟派项目经理具备机电工程专业注册建造师二级及以上执业资格，具备有效的安全生产考核合格证，在本单位注册，且无在建项目（提供相关承诺书）</w:t>
            </w:r>
          </w:p>
        </w:tc>
        <w:tc>
          <w:tcPr>
            <w:tcW w:type="dxa" w:w="1661"/>
          </w:tcPr>
          <w:p>
            <w:pPr>
              <w:pStyle w:val="null3"/>
            </w:pPr>
            <w:r>
              <w:rPr>
                <w:rFonts w:ascii="仿宋_GB2312" w:hAnsi="仿宋_GB2312" w:cs="仿宋_GB2312" w:eastAsia="仿宋_GB2312"/>
              </w:rPr>
              <w:t>项目管理机构组成表 商务条款偏离表及投入人员汇总.docx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磋商资格证明文件.docx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磋商资格证明文件.docx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按磋商文件要求签字，需盖章处按磋商文件要求盖章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施工组织设计.docx 强制优先采购产品承诺函 响应文件封面 项目管理机构组成表 残疾人福利性单位声明函 报价函 标的清单 商务条款偏离表及投入人员汇总.docx 供应商类似项目业绩一览表 磋商资格证明文件.docx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施工组织设计.docx 强制优先采购产品承诺函 响应文件封面 项目管理机构组成表 残疾人福利性单位声明函 报价函 标的清单 商务条款偏离表及投入人员汇总.docx 供应商类似项目业绩一览表 磋商资格证明文件.docx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施工组织设计.docx 强制优先采购产品承诺函 响应文件封面 项目管理机构组成表 残疾人福利性单位声明函 报价函 标的清单 商务条款偏离表及投入人员汇总.docx 供应商类似项目业绩一览表 磋商资格证明文件.docx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工期及质量保修期</w:t>
            </w:r>
          </w:p>
        </w:tc>
        <w:tc>
          <w:tcPr>
            <w:tcW w:type="dxa" w:w="3322"/>
          </w:tcPr>
          <w:p>
            <w:pPr>
              <w:pStyle w:val="null3"/>
            </w:pPr>
            <w:r>
              <w:rPr>
                <w:rFonts w:ascii="仿宋_GB2312" w:hAnsi="仿宋_GB2312" w:cs="仿宋_GB2312" w:eastAsia="仿宋_GB2312"/>
              </w:rPr>
              <w:t>应满足磋商文件中要求的工期、质量保修期</w:t>
            </w:r>
          </w:p>
        </w:tc>
        <w:tc>
          <w:tcPr>
            <w:tcW w:type="dxa" w:w="1661"/>
          </w:tcPr>
          <w:p>
            <w:pPr>
              <w:pStyle w:val="null3"/>
            </w:pPr>
            <w:r>
              <w:rPr>
                <w:rFonts w:ascii="仿宋_GB2312" w:hAnsi="仿宋_GB2312" w:cs="仿宋_GB2312" w:eastAsia="仿宋_GB2312"/>
              </w:rPr>
              <w:t>技术服务合同条款及其他商务要求应答表 商务条款偏离表及投入人员汇总.docx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不存在法律、法规和磋商文件规定的其他无效磋商情形。</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施工组织设计.docx 强制优先采购产品承诺函 响应文件封面 项目管理机构组成表 残疾人福利性单位声明函 报价函 标的清单 商务条款偏离表及投入人员汇总.docx 供应商类似项目业绩一览表 磋商资格证明文件.docx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①施工方案②项目部人员配备及劳动力安排计划③确保文明施工的技术组织措施及环境保护④施工进度计划及工期保障措施（包括施工计划横道图或网络图）⑤针对本项目的临时性⑥阶段性工作及突发事件的应急处理方案⑦拟投入本项目的设备、机械、工具等⑧安全作业管理 各部分内容全面详细、阐述条理清晰详尽、符合本项目采购需求得32分;评审内容每缺一项扣4分；评审内容有缺陷（缺陷是指：内容粗略、逻辑混乱、描述过于简单、与项目特点不匹配、凭空编造、逻辑漏洞、出现常识性错误、存在不适用项目实际情况的情形或只有标题没有实质性内容等）的扣0-4分。未提供不计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新技术、新产品</w:t>
            </w:r>
          </w:p>
        </w:tc>
        <w:tc>
          <w:tcPr>
            <w:tcW w:type="dxa" w:w="2492"/>
          </w:tcPr>
          <w:p>
            <w:pPr>
              <w:pStyle w:val="null3"/>
            </w:pPr>
            <w:r>
              <w:rPr>
                <w:rFonts w:ascii="仿宋_GB2312" w:hAnsi="仿宋_GB2312" w:cs="仿宋_GB2312" w:eastAsia="仿宋_GB2312"/>
              </w:rPr>
              <w:t>新技术、新产品、新工艺、新材料应用，提供证明材料，未提供不得分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售后服务及培训措施</w:t>
            </w:r>
          </w:p>
        </w:tc>
        <w:tc>
          <w:tcPr>
            <w:tcW w:type="dxa" w:w="2492"/>
          </w:tcPr>
          <w:p>
            <w:pPr>
              <w:pStyle w:val="null3"/>
            </w:pPr>
            <w:r>
              <w:rPr>
                <w:rFonts w:ascii="仿宋_GB2312" w:hAnsi="仿宋_GB2312" w:cs="仿宋_GB2312" w:eastAsia="仿宋_GB2312"/>
              </w:rPr>
              <w:t>售后服务： 1.设立相应的技术支持及售后服务机构（提供有效的办公场所证明材料），计3分；未提供不得分； 2.对设备发生故障后的补救措施，维修服务响应时限等售后服务，有明确的承诺且具体、切实可行计4分，提供不完整得2分，未提供不得分。 3.培训措施： 提供详尽的培训方案及培训计划，并列出培训的具体内容及方式，确保使用人员能够独立熟练操作和正常使用，方案完整，可实施性强计4分，方案粗略不完整计2分，未提供不得分。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设备投入计划</w:t>
            </w:r>
          </w:p>
        </w:tc>
        <w:tc>
          <w:tcPr>
            <w:tcW w:type="dxa" w:w="2492"/>
          </w:tcPr>
          <w:p>
            <w:pPr>
              <w:pStyle w:val="null3"/>
            </w:pPr>
            <w:r>
              <w:rPr>
                <w:rFonts w:ascii="仿宋_GB2312" w:hAnsi="仿宋_GB2312" w:cs="仿宋_GB2312" w:eastAsia="仿宋_GB2312"/>
              </w:rPr>
              <w:t>①主要设备技术要求所提供的磋商设备（产品）参数、规格型号、性能等技术说明资料，产品彩页（如有）、官网截图、磋商产品检测报告表述清楚明确、充分。 技术参数满足磋商文件要求得10分，每负偏离1项扣0.5分，扣完为止，负分不计。 ②设备货源渠道正常，质量保证，并能够提供相关证明材料（包括但不限于厂家授权、销售协议、代理协议等）计5分，未提供不得分。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2021年10月1日（以合同签订日期为准）同类项目业绩；每提供1份计2分，最高得10分。业绩证明（以合同为准，须在磋商响应文件中附合同复印件加盖单位公章，原件备查，中标通知书、验收报告及不少于30%的发票，发票可查）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 2、有效最低报价为基准价得30分。 3、按（磋商基准价/有效最终磋商报价）×30的公式计算报价得分。 4、报价不完整的，不进入磋商基准价的计算，本项得0分。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详见附件：磋商资格证明文件.docx</w:t>
      </w:r>
    </w:p>
    <w:p>
      <w:pPr>
        <w:pStyle w:val="null3"/>
        <w:ind w:firstLine="960"/>
      </w:pPr>
      <w:r>
        <w:rPr>
          <w:rFonts w:ascii="仿宋_GB2312" w:hAnsi="仿宋_GB2312" w:cs="仿宋_GB2312" w:eastAsia="仿宋_GB2312"/>
        </w:rPr>
        <w:t>详见附件：商务条款偏离表及投入人员汇总.docx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详见附件：已标价工程量清单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详见附件：罗汉寺安防工程项目施工合同.docx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