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版本号：新天宏THZ2026－02920260115001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西安高新区信用综合服务平台政策在线申报系统建设项目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新天宏THZ2026－029</w:t>
      </w:r>
      <w:r>
        <w:br/>
      </w:r>
      <w:r>
        <w:br/>
      </w:r>
      <w:r>
        <w:br/>
      </w:r>
    </w:p>
    <w:p>
      <w:pPr>
        <w:pStyle w:val="null3"/>
        <w:jc w:val="center"/>
        <w:outlineLvl w:val="2"/>
      </w:pPr>
      <w:r>
        <w:rPr>
          <w:rFonts w:ascii="仿宋_GB2312" w:hAnsi="仿宋_GB2312" w:cs="仿宋_GB2312" w:eastAsia="仿宋_GB2312"/>
          <w:sz w:val="28"/>
          <w:b/>
        </w:rPr>
        <w:t>西安高新技术产业开发区工业和信息化局</w:t>
      </w:r>
    </w:p>
    <w:p>
      <w:pPr>
        <w:pStyle w:val="null3"/>
        <w:jc w:val="center"/>
        <w:outlineLvl w:val="2"/>
      </w:pPr>
      <w:r>
        <w:rPr>
          <w:rFonts w:ascii="仿宋_GB2312" w:hAnsi="仿宋_GB2312" w:cs="仿宋_GB2312" w:eastAsia="仿宋_GB2312"/>
          <w:sz w:val="28"/>
          <w:b/>
        </w:rPr>
        <w:t>西安新天宏项目管理有限责任公司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西安新天宏项目管理有限责任公司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西安高新技术产业开发区工业和信息化局</w:t>
      </w:r>
      <w:r>
        <w:rPr>
          <w:rFonts w:ascii="仿宋_GB2312" w:hAnsi="仿宋_GB2312" w:cs="仿宋_GB2312" w:eastAsia="仿宋_GB2312"/>
        </w:rPr>
        <w:t>委托，拟对</w:t>
      </w:r>
      <w:r>
        <w:rPr>
          <w:rFonts w:ascii="仿宋_GB2312" w:hAnsi="仿宋_GB2312" w:cs="仿宋_GB2312" w:eastAsia="仿宋_GB2312"/>
        </w:rPr>
        <w:t>西安高新区信用综合服务平台政策在线申报系统建设项目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新天宏THZ2026－029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西安高新区信用综合服务平台政策在线申报系统建设项目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西安高新区信用综合服务平台政策在线申报系统建设内容包括：政策兑现、数据迁移等功能，详见磋商文件。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采购包1（西安高新区信用综合服务平台政策在线申报系统建设项目）：属于专门面向中小企业采购。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1、营业执照或其他证明材料：供应商应具有独立承担民事责任能力的法人、其他组织或自然人，提供合法有效的营业执照或其他证明材料；</w:t>
      </w:r>
    </w:p>
    <w:p>
      <w:pPr>
        <w:pStyle w:val="null3"/>
      </w:pPr>
      <w:r>
        <w:rPr>
          <w:rFonts w:ascii="仿宋_GB2312" w:hAnsi="仿宋_GB2312" w:cs="仿宋_GB2312" w:eastAsia="仿宋_GB2312"/>
        </w:rPr>
        <w:t>2、磋商响应单位代表身份：法定代表人授权书及被授权人身份证复印件（法人授权委托代表提供近六个月内任意一个月的社保证明，法定代表人直接参加磋商，须提供法定代表人身份证明及身份证复印件）；</w:t>
      </w:r>
    </w:p>
    <w:p>
      <w:pPr>
        <w:pStyle w:val="null3"/>
      </w:pPr>
      <w:r>
        <w:rPr>
          <w:rFonts w:ascii="仿宋_GB2312" w:hAnsi="仿宋_GB2312" w:cs="仿宋_GB2312" w:eastAsia="仿宋_GB2312"/>
        </w:rPr>
        <w:t>3、书面声明：单位负责人为同一人或者存在控股、管理关系的不同单位，不得同时参加本项目磋商，提供有效的书面声明；</w:t>
      </w:r>
    </w:p>
    <w:p>
      <w:pPr>
        <w:pStyle w:val="null3"/>
      </w:pPr>
      <w:r>
        <w:rPr>
          <w:rFonts w:ascii="仿宋_GB2312" w:hAnsi="仿宋_GB2312" w:cs="仿宋_GB2312" w:eastAsia="仿宋_GB2312"/>
        </w:rPr>
        <w:t>4、非联合体声明：本项目不允许联合体磋商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西安高新技术产业开发区工业和信息化局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西安高新区丝路创智谷5号楼610</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西安高新技术产业开发区工业和信息化局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029-81155116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西安新天宏项目管理有限责任公司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陕西省西安市雁塔区西安市高新路52号高科大厦4层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029-88318716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采购包1：913,109.00元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费金额：参考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857号）、《国家发展改革委关于降低部分建设项目收费标准规范收费行为等有关问题的通知》（发改价格[2011]534号）的有关规定直接计取。代理服务费由成交供应商在领取中标通知书前向代理机构一次性支付。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西安高新技术产业开发区工业和信息化局</w:t>
      </w:r>
      <w:r>
        <w:rPr>
          <w:rFonts w:ascii="仿宋_GB2312" w:hAnsi="仿宋_GB2312" w:cs="仿宋_GB2312" w:eastAsia="仿宋_GB2312"/>
        </w:rPr>
        <w:t>和</w:t>
      </w:r>
      <w:r>
        <w:rPr>
          <w:rFonts w:ascii="仿宋_GB2312" w:hAnsi="仿宋_GB2312" w:cs="仿宋_GB2312" w:eastAsia="仿宋_GB2312"/>
        </w:rPr>
        <w:t>西安新天宏项目管理有限责任公司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西安高新技术产业开发区工业和信息化局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西安新天宏项目管理有限责任公司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西安高新技术产业开发区工业和信息化局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西安新天宏项目管理有限责任公司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w:t>
      </w:r>
    </w:p>
    <w:p>
      <w:pPr>
        <w:pStyle w:val="null3"/>
      </w:pPr>
      <w:r>
        <w:rPr>
          <w:rFonts w:ascii="仿宋_GB2312" w:hAnsi="仿宋_GB2312" w:cs="仿宋_GB2312" w:eastAsia="仿宋_GB2312"/>
        </w:rPr>
        <w:t>联系电话：029-88318716</w:t>
      </w:r>
    </w:p>
    <w:p>
      <w:pPr>
        <w:pStyle w:val="null3"/>
      </w:pPr>
      <w:r>
        <w:rPr>
          <w:rFonts w:ascii="仿宋_GB2312" w:hAnsi="仿宋_GB2312" w:cs="仿宋_GB2312" w:eastAsia="仿宋_GB2312"/>
        </w:rPr>
        <w:t>地址：西安市高新区高新路52号高科大厦4楼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西安高新区信用综合服务平台政策在线申报系统建设内容包括：政策兑现、数据迁移等功能，详见磋商文件。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913,109.00</w:t>
      </w:r>
    </w:p>
    <w:p>
      <w:pPr>
        <w:pStyle w:val="null3"/>
      </w:pPr>
      <w:r>
        <w:rPr>
          <w:rFonts w:ascii="仿宋_GB2312" w:hAnsi="仿宋_GB2312" w:cs="仿宋_GB2312" w:eastAsia="仿宋_GB2312"/>
        </w:rPr>
        <w:t>采购包最高限价（元）: 913,109.00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西安高新区信用综合服务平台政策在线申报系统建设项目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913,109.00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标的名称：西安高新区信用综合服务平台政策在线申报系统建设项目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after="315"/>
              <w:jc w:val="center"/>
              <w:outlineLvl w:val="0"/>
            </w:pPr>
            <w:r>
              <w:rPr>
                <w:rFonts w:ascii="仿宋_GB2312" w:hAnsi="仿宋_GB2312" w:cs="仿宋_GB2312" w:eastAsia="仿宋_GB2312"/>
                <w:sz w:val="32"/>
                <w:b/>
                <w:color w:val="000000"/>
              </w:rPr>
              <w:t>采购内容及要求</w:t>
            </w:r>
          </w:p>
          <w:p>
            <w:pPr>
              <w:pStyle w:val="null3"/>
              <w:spacing w:before="315" w:after="315"/>
              <w:jc w:val="both"/>
              <w:outlineLvl w:val="0"/>
            </w:pPr>
            <w:r>
              <w:rPr>
                <w:rFonts w:ascii="仿宋_GB2312" w:hAnsi="仿宋_GB2312" w:cs="仿宋_GB2312" w:eastAsia="仿宋_GB2312"/>
                <w:sz w:val="24"/>
                <w:b/>
              </w:rPr>
              <w:t>1项目软件系统</w:t>
            </w:r>
            <w:r>
              <w:rPr>
                <w:rFonts w:ascii="仿宋_GB2312" w:hAnsi="仿宋_GB2312" w:cs="仿宋_GB2312" w:eastAsia="仿宋_GB2312"/>
                <w:sz w:val="24"/>
                <w:b/>
              </w:rPr>
              <w:t>功能</w:t>
            </w:r>
            <w:r>
              <w:rPr>
                <w:rFonts w:ascii="仿宋_GB2312" w:hAnsi="仿宋_GB2312" w:cs="仿宋_GB2312" w:eastAsia="仿宋_GB2312"/>
                <w:sz w:val="24"/>
                <w:b/>
              </w:rPr>
              <w:t>需求说明</w:t>
            </w:r>
          </w:p>
          <w:p>
            <w:pPr>
              <w:pStyle w:val="null3"/>
              <w:jc w:val="both"/>
              <w:outlineLvl w:val="1"/>
            </w:pPr>
            <w:r>
              <w:rPr>
                <w:rFonts w:ascii="仿宋_GB2312" w:hAnsi="仿宋_GB2312" w:cs="仿宋_GB2312" w:eastAsia="仿宋_GB2312"/>
                <w:sz w:val="24"/>
                <w:b/>
              </w:rPr>
              <w:t>1.1</w:t>
            </w:r>
            <w:r>
              <w:rPr>
                <w:rFonts w:ascii="仿宋_GB2312" w:hAnsi="仿宋_GB2312" w:cs="仿宋_GB2312" w:eastAsia="仿宋_GB2312"/>
                <w:sz w:val="24"/>
                <w:b/>
              </w:rPr>
              <w:t>政策兑现业务功能分析</w:t>
            </w:r>
          </w:p>
          <w:p>
            <w:pPr>
              <w:pStyle w:val="null3"/>
              <w:ind w:firstLine="480"/>
              <w:jc w:val="left"/>
            </w:pPr>
            <w:r>
              <w:rPr>
                <w:rFonts w:ascii="仿宋_GB2312" w:hAnsi="仿宋_GB2312" w:cs="仿宋_GB2312" w:eastAsia="仿宋_GB2312"/>
                <w:sz w:val="24"/>
              </w:rPr>
              <w:t>西安高新区信用综合服务平台政策在线申报系统的政策兑现功能以数字化、智能化、生态化为核心导向，整合政策全生命周期管理与企业全场景服务需求，构建覆盖政策检索、匹配、解读、申报、审核、公示、拨付、监管等全链条的一体化服务体系，通过技术赋能与流程重构，实现政策资源与企业需求的精准对接，全面提升政策落地效能与区域治理水平。</w:t>
            </w:r>
            <w:r>
              <w:rPr>
                <w:rFonts w:ascii="仿宋_GB2312" w:hAnsi="仿宋_GB2312" w:cs="仿宋_GB2312" w:eastAsia="仿宋_GB2312"/>
                <w:sz w:val="24"/>
              </w:rPr>
              <w:t>核心功能包括：</w:t>
            </w:r>
          </w:p>
          <w:p>
            <w:pPr>
              <w:pStyle w:val="null3"/>
              <w:ind w:firstLine="480"/>
              <w:jc w:val="left"/>
            </w:pPr>
            <w:r>
              <w:rPr>
                <w:rFonts w:ascii="仿宋_GB2312" w:hAnsi="仿宋_GB2312" w:cs="仿宋_GB2312" w:eastAsia="仿宋_GB2312"/>
                <w:sz w:val="24"/>
              </w:rPr>
              <w:t>构建动态更新的政策数据库与企业多维画像体系，打通企业基本经营状况、公共信用记录、科技创新能力、财务指标等维度数据，实现政策与企业的双向智能关联：一方面，企业可通过全文检索、关键词联想、组合条件筛选等多元检索方式快速定位政策，支持政策收藏、订阅及微信分享，实时获取政策动态；另一方面，系统基于企业画像自动计算政策匹配度，生成包含适配政策条数、可获金额、申报期限等信息的《智能匹配报告》，并通过站内信、短信等渠道主动推送适配政策，实现</w:t>
            </w:r>
            <w:r>
              <w:rPr>
                <w:rFonts w:ascii="仿宋_GB2312" w:hAnsi="仿宋_GB2312" w:cs="仿宋_GB2312" w:eastAsia="仿宋_GB2312"/>
                <w:sz w:val="24"/>
              </w:rPr>
              <w:t>“企业找政策”与“政策找企业”的双向驱动，提升政策匹配准确率和覆盖率，有效消除中小企业政策获取盲区。</w:t>
            </w:r>
          </w:p>
          <w:p>
            <w:pPr>
              <w:pStyle w:val="null3"/>
              <w:ind w:firstLine="480"/>
              <w:jc w:val="left"/>
            </w:pPr>
            <w:r>
              <w:rPr>
                <w:rFonts w:ascii="仿宋_GB2312" w:hAnsi="仿宋_GB2312" w:cs="仿宋_GB2312" w:eastAsia="仿宋_GB2312"/>
                <w:sz w:val="24"/>
              </w:rPr>
              <w:t>平台</w:t>
            </w:r>
            <w:r>
              <w:rPr>
                <w:rFonts w:ascii="仿宋_GB2312" w:hAnsi="仿宋_GB2312" w:cs="仿宋_GB2312" w:eastAsia="仿宋_GB2312"/>
                <w:sz w:val="24"/>
              </w:rPr>
              <w:t>支持</w:t>
            </w:r>
            <w:r>
              <w:rPr>
                <w:rFonts w:ascii="仿宋_GB2312" w:hAnsi="仿宋_GB2312" w:cs="仿宋_GB2312" w:eastAsia="仿宋_GB2312"/>
                <w:sz w:val="24"/>
              </w:rPr>
              <w:t>通过可视化表单引擎与全流程线上化系统，重塑企业办事体验：</w:t>
            </w:r>
            <w:r>
              <w:rPr>
                <w:rFonts w:ascii="仿宋_GB2312" w:hAnsi="仿宋_GB2312" w:cs="仿宋_GB2312" w:eastAsia="仿宋_GB2312"/>
                <w:sz w:val="24"/>
              </w:rPr>
              <w:t>要求</w:t>
            </w:r>
            <w:r>
              <w:rPr>
                <w:rFonts w:ascii="仿宋_GB2312" w:hAnsi="仿宋_GB2312" w:cs="仿宋_GB2312" w:eastAsia="仿宋_GB2312"/>
                <w:sz w:val="24"/>
              </w:rPr>
              <w:t>内置标准化政策申报模板，支持用户通过拖拉拽交互自由设计表单结构，集成文本输入、附件上传、信用数据联动等多元组件，自动填充以上申报字段，减少重复填报；针对高频政策引入政策解读功能。</w:t>
            </w:r>
          </w:p>
          <w:p>
            <w:pPr>
              <w:pStyle w:val="null3"/>
              <w:ind w:firstLine="480"/>
              <w:jc w:val="left"/>
            </w:pPr>
            <w:r>
              <w:rPr>
                <w:rFonts w:ascii="仿宋_GB2312" w:hAnsi="仿宋_GB2312" w:cs="仿宋_GB2312" w:eastAsia="仿宋_GB2312"/>
                <w:sz w:val="24"/>
              </w:rPr>
              <w:t>平台强化政策执行的规范性与透明度，构建全流程数字化监管体系：政策发布支持</w:t>
            </w:r>
            <w:r>
              <w:rPr>
                <w:rFonts w:ascii="仿宋_GB2312" w:hAnsi="仿宋_GB2312" w:cs="仿宋_GB2312" w:eastAsia="仿宋_GB2312"/>
                <w:sz w:val="24"/>
              </w:rPr>
              <w:t>“在线申报类”与“免申即享类”分类管理，梳理数据要素确保内容准确，通过权限管理配置不同角色操作范围（如企业仅查申报记录，政务人员可编辑审核意见）；免申即享模式支持部门批量上传企业名单，系统自动匹配政策条件，无需申报即可完成资格认定与资金兑付；公示与拨付环节自动推送结果通知，企业在线填写请款单。</w:t>
            </w:r>
          </w:p>
          <w:p>
            <w:pPr>
              <w:pStyle w:val="null3"/>
              <w:ind w:firstLine="480"/>
              <w:jc w:val="left"/>
            </w:pPr>
            <w:r>
              <w:rPr>
                <w:rFonts w:ascii="仿宋_GB2312" w:hAnsi="仿宋_GB2312" w:cs="仿宋_GB2312" w:eastAsia="仿宋_GB2312"/>
                <w:sz w:val="24"/>
              </w:rPr>
              <w:t>搭建全流程线上化申报审核系统，打通企业在线提交材料、系统自动初筛校验、跨部门协同审核及结果反馈的闭环流程，在简化申报环节、压缩办事成本的同时，通过</w:t>
            </w:r>
            <w:r>
              <w:rPr>
                <w:rFonts w:ascii="仿宋_GB2312" w:hAnsi="仿宋_GB2312" w:cs="仿宋_GB2312" w:eastAsia="仿宋_GB2312"/>
                <w:sz w:val="24"/>
              </w:rPr>
              <w:t>“机器初审+人工复核”双重机制确保政策兑现的公平性与规范性，缩短申报周期，助力企业高质量发展。</w:t>
            </w:r>
          </w:p>
          <w:p>
            <w:pPr>
              <w:pStyle w:val="null3"/>
              <w:jc w:val="both"/>
              <w:outlineLvl w:val="1"/>
            </w:pPr>
            <w:r>
              <w:rPr>
                <w:rFonts w:ascii="仿宋_GB2312" w:hAnsi="仿宋_GB2312" w:cs="仿宋_GB2312" w:eastAsia="仿宋_GB2312"/>
                <w:sz w:val="24"/>
                <w:b/>
              </w:rPr>
              <w:t xml:space="preserve">1.2 </w:t>
            </w:r>
            <w:r>
              <w:rPr>
                <w:rFonts w:ascii="仿宋_GB2312" w:hAnsi="仿宋_GB2312" w:cs="仿宋_GB2312" w:eastAsia="仿宋_GB2312"/>
                <w:sz w:val="24"/>
                <w:b/>
              </w:rPr>
              <w:t>数据迁移需求</w:t>
            </w:r>
          </w:p>
          <w:p>
            <w:pPr>
              <w:pStyle w:val="null3"/>
              <w:ind w:firstLine="480"/>
              <w:jc w:val="left"/>
            </w:pPr>
            <w:r>
              <w:rPr>
                <w:rFonts w:ascii="仿宋_GB2312" w:hAnsi="仿宋_GB2312" w:cs="仿宋_GB2312" w:eastAsia="仿宋_GB2312"/>
                <w:sz w:val="24"/>
              </w:rPr>
              <w:t>全面梳理迁移范围，</w:t>
            </w:r>
            <w:r>
              <w:rPr>
                <w:rFonts w:ascii="仿宋_GB2312" w:hAnsi="仿宋_GB2312" w:cs="仿宋_GB2312" w:eastAsia="仿宋_GB2312"/>
                <w:sz w:val="24"/>
              </w:rPr>
              <w:t>完成</w:t>
            </w:r>
            <w:r>
              <w:rPr>
                <w:rFonts w:ascii="仿宋_GB2312" w:hAnsi="仿宋_GB2312" w:cs="仿宋_GB2312" w:eastAsia="仿宋_GB2312"/>
                <w:sz w:val="24"/>
              </w:rPr>
              <w:t>涵盖</w:t>
            </w:r>
            <w:r>
              <w:rPr>
                <w:rFonts w:ascii="仿宋_GB2312" w:hAnsi="仿宋_GB2312" w:cs="仿宋_GB2312" w:eastAsia="仿宋_GB2312"/>
                <w:sz w:val="24"/>
              </w:rPr>
              <w:t>2013年至202</w:t>
            </w:r>
            <w:r>
              <w:rPr>
                <w:rFonts w:ascii="仿宋_GB2312" w:hAnsi="仿宋_GB2312" w:cs="仿宋_GB2312" w:eastAsia="仿宋_GB2312"/>
                <w:sz w:val="24"/>
              </w:rPr>
              <w:t>6</w:t>
            </w:r>
            <w:r>
              <w:rPr>
                <w:rFonts w:ascii="仿宋_GB2312" w:hAnsi="仿宋_GB2312" w:cs="仿宋_GB2312" w:eastAsia="仿宋_GB2312"/>
                <w:sz w:val="24"/>
              </w:rPr>
              <w:t>年企业政策申报相关的结构化与非结构化数据</w:t>
            </w:r>
            <w:r>
              <w:rPr>
                <w:rFonts w:ascii="仿宋_GB2312" w:hAnsi="仿宋_GB2312" w:cs="仿宋_GB2312" w:eastAsia="仿宋_GB2312"/>
                <w:sz w:val="24"/>
              </w:rPr>
              <w:t>迁移</w:t>
            </w:r>
            <w:r>
              <w:rPr>
                <w:rFonts w:ascii="仿宋_GB2312" w:hAnsi="仿宋_GB2312" w:cs="仿宋_GB2312" w:eastAsia="仿宋_GB2312"/>
                <w:sz w:val="24"/>
              </w:rPr>
              <w:t>，深入调研源系统数据库类型、结构及数据量，分析数据完整性、准确性与一致性，制定包含迁移时间、计划及业务影响评估的详细方案，</w:t>
            </w:r>
            <w:r>
              <w:rPr>
                <w:rFonts w:ascii="仿宋_GB2312" w:hAnsi="仿宋_GB2312" w:cs="仿宋_GB2312" w:eastAsia="仿宋_GB2312"/>
                <w:sz w:val="24"/>
              </w:rPr>
              <w:t>完成</w:t>
            </w:r>
            <w:r>
              <w:rPr>
                <w:rFonts w:ascii="仿宋_GB2312" w:hAnsi="仿宋_GB2312" w:cs="仿宋_GB2312" w:eastAsia="仿宋_GB2312"/>
                <w:sz w:val="24"/>
              </w:rPr>
              <w:t>数据验证</w:t>
            </w:r>
            <w:r>
              <w:rPr>
                <w:rFonts w:ascii="仿宋_GB2312" w:hAnsi="仿宋_GB2312" w:cs="仿宋_GB2312" w:eastAsia="仿宋_GB2312"/>
                <w:sz w:val="24"/>
              </w:rPr>
              <w:t>、</w:t>
            </w:r>
            <w:r>
              <w:rPr>
                <w:rFonts w:ascii="仿宋_GB2312" w:hAnsi="仿宋_GB2312" w:cs="仿宋_GB2312" w:eastAsia="仿宋_GB2312"/>
                <w:sz w:val="24"/>
              </w:rPr>
              <w:t>测试</w:t>
            </w:r>
            <w:r>
              <w:rPr>
                <w:rFonts w:ascii="仿宋_GB2312" w:hAnsi="仿宋_GB2312" w:cs="仿宋_GB2312" w:eastAsia="仿宋_GB2312"/>
                <w:sz w:val="24"/>
              </w:rPr>
              <w:t>及迁移</w:t>
            </w:r>
            <w:r>
              <w:rPr>
                <w:rFonts w:ascii="仿宋_GB2312" w:hAnsi="仿宋_GB2312" w:cs="仿宋_GB2312" w:eastAsia="仿宋_GB2312"/>
                <w:sz w:val="24"/>
              </w:rPr>
              <w:t>。</w:t>
            </w:r>
          </w:p>
          <w:p>
            <w:pPr>
              <w:pStyle w:val="null3"/>
              <w:spacing w:before="315" w:after="315"/>
              <w:jc w:val="both"/>
              <w:outlineLvl w:val="0"/>
            </w:pPr>
            <w:r>
              <w:rPr>
                <w:rFonts w:ascii="仿宋_GB2312" w:hAnsi="仿宋_GB2312" w:cs="仿宋_GB2312" w:eastAsia="仿宋_GB2312"/>
                <w:sz w:val="24"/>
                <w:b/>
              </w:rPr>
              <w:t>2</w:t>
            </w:r>
            <w:r>
              <w:rPr>
                <w:rFonts w:ascii="仿宋_GB2312" w:hAnsi="仿宋_GB2312" w:cs="仿宋_GB2312" w:eastAsia="仿宋_GB2312"/>
                <w:sz w:val="24"/>
                <w:b/>
              </w:rPr>
              <w:t>非功能需求</w:t>
            </w:r>
          </w:p>
          <w:p>
            <w:pPr>
              <w:pStyle w:val="null3"/>
              <w:jc w:val="both"/>
              <w:outlineLvl w:val="1"/>
            </w:pPr>
            <w:r>
              <w:rPr>
                <w:rFonts w:ascii="仿宋_GB2312" w:hAnsi="仿宋_GB2312" w:cs="仿宋_GB2312" w:eastAsia="仿宋_GB2312"/>
                <w:sz w:val="24"/>
                <w:b/>
              </w:rPr>
              <w:t>2.1</w:t>
            </w:r>
            <w:r>
              <w:rPr>
                <w:rFonts w:ascii="仿宋_GB2312" w:hAnsi="仿宋_GB2312" w:cs="仿宋_GB2312" w:eastAsia="仿宋_GB2312"/>
                <w:sz w:val="24"/>
                <w:b/>
              </w:rPr>
              <w:t>用户数与并发数</w:t>
            </w:r>
          </w:p>
          <w:p>
            <w:pPr>
              <w:pStyle w:val="null3"/>
              <w:ind w:firstLine="480"/>
              <w:jc w:val="left"/>
            </w:pPr>
            <w:r>
              <w:rPr>
                <w:rFonts w:ascii="仿宋_GB2312" w:hAnsi="仿宋_GB2312" w:cs="仿宋_GB2312" w:eastAsia="仿宋_GB2312"/>
                <w:sz w:val="24"/>
              </w:rPr>
              <w:t>用户数：用户覆盖规模系统设计覆盖西安高新区</w:t>
            </w:r>
            <w:r>
              <w:rPr>
                <w:rFonts w:ascii="仿宋_GB2312" w:hAnsi="仿宋_GB2312" w:cs="仿宋_GB2312" w:eastAsia="仿宋_GB2312"/>
                <w:sz w:val="24"/>
              </w:rPr>
              <w:t>16万家企业用户及300万个用户应用，需支撑大规模用户的同时访问和业务操作。</w:t>
            </w:r>
          </w:p>
          <w:p>
            <w:pPr>
              <w:pStyle w:val="null3"/>
              <w:ind w:firstLine="480"/>
              <w:jc w:val="left"/>
            </w:pPr>
            <w:r>
              <w:rPr>
                <w:rFonts w:ascii="仿宋_GB2312" w:hAnsi="仿宋_GB2312" w:cs="仿宋_GB2312" w:eastAsia="仿宋_GB2312"/>
                <w:sz w:val="24"/>
              </w:rPr>
              <w:t>并发数：系统需具备高并发处理能力，确保在高峰时段仍能稳定运行并提供优质服务，至少支撑每秒</w:t>
            </w:r>
            <w:r>
              <w:rPr>
                <w:rFonts w:ascii="仿宋_GB2312" w:hAnsi="仿宋_GB2312" w:cs="仿宋_GB2312" w:eastAsia="仿宋_GB2312"/>
                <w:sz w:val="24"/>
              </w:rPr>
              <w:t>1000的并发。</w:t>
            </w:r>
          </w:p>
          <w:p>
            <w:pPr>
              <w:pStyle w:val="null3"/>
              <w:jc w:val="both"/>
              <w:outlineLvl w:val="1"/>
            </w:pPr>
            <w:r>
              <w:rPr>
                <w:rFonts w:ascii="仿宋_GB2312" w:hAnsi="仿宋_GB2312" w:cs="仿宋_GB2312" w:eastAsia="仿宋_GB2312"/>
                <w:sz w:val="24"/>
                <w:b/>
              </w:rPr>
              <w:t>2.2</w:t>
            </w:r>
            <w:r>
              <w:rPr>
                <w:rFonts w:ascii="仿宋_GB2312" w:hAnsi="仿宋_GB2312" w:cs="仿宋_GB2312" w:eastAsia="仿宋_GB2312"/>
                <w:sz w:val="24"/>
                <w:b/>
              </w:rPr>
              <w:t>响应时间</w:t>
            </w:r>
          </w:p>
          <w:p>
            <w:pPr>
              <w:pStyle w:val="null3"/>
              <w:ind w:firstLine="480"/>
              <w:jc w:val="left"/>
            </w:pPr>
            <w:r>
              <w:rPr>
                <w:rFonts w:ascii="仿宋_GB2312" w:hAnsi="仿宋_GB2312" w:cs="仿宋_GB2312" w:eastAsia="仿宋_GB2312"/>
                <w:sz w:val="24"/>
              </w:rPr>
              <w:t>核心业务响应标准参照</w:t>
            </w:r>
            <w:r>
              <w:rPr>
                <w:rFonts w:ascii="仿宋_GB2312" w:hAnsi="仿宋_GB2312" w:cs="仿宋_GB2312" w:eastAsia="仿宋_GB2312"/>
                <w:sz w:val="24"/>
              </w:rPr>
              <w:t>“2510原则”（2秒内响应为“快”，2-5秒为“不错”，5-10秒为“慢”，超过10秒不可接受），系统整体设计需满足：常规操作响应时间：≤4秒（确保用户体验流畅）。复杂查询/计算响应时间：≤10秒（如政策精准匹配、企业评分计算等）。</w:t>
            </w:r>
          </w:p>
          <w:p>
            <w:pPr>
              <w:pStyle w:val="null3"/>
              <w:jc w:val="both"/>
              <w:outlineLvl w:val="1"/>
            </w:pPr>
            <w:r>
              <w:rPr>
                <w:rFonts w:ascii="仿宋_GB2312" w:hAnsi="仿宋_GB2312" w:cs="仿宋_GB2312" w:eastAsia="仿宋_GB2312"/>
                <w:sz w:val="24"/>
                <w:b/>
              </w:rPr>
              <w:t>2.3</w:t>
            </w:r>
            <w:r>
              <w:rPr>
                <w:rFonts w:ascii="仿宋_GB2312" w:hAnsi="仿宋_GB2312" w:cs="仿宋_GB2312" w:eastAsia="仿宋_GB2312"/>
                <w:sz w:val="24"/>
                <w:b/>
              </w:rPr>
              <w:t>资源占用与性能指标</w:t>
            </w:r>
          </w:p>
          <w:p>
            <w:pPr>
              <w:pStyle w:val="null3"/>
              <w:ind w:firstLine="480"/>
              <w:jc w:val="left"/>
            </w:pPr>
            <w:r>
              <w:rPr>
                <w:rFonts w:ascii="仿宋_GB2312" w:hAnsi="仿宋_GB2312" w:cs="仿宋_GB2312" w:eastAsia="仿宋_GB2312"/>
                <w:sz w:val="24"/>
              </w:rPr>
              <w:t>服务器资源限制</w:t>
            </w:r>
            <w:r>
              <w:rPr>
                <w:rFonts w:ascii="仿宋_GB2312" w:hAnsi="仿宋_GB2312" w:cs="仿宋_GB2312" w:eastAsia="仿宋_GB2312"/>
                <w:sz w:val="24"/>
              </w:rPr>
              <w:t>CPU使用率：正常负载下≤70%，峰值时段≤85%，避免系统卡顿。</w:t>
            </w:r>
          </w:p>
          <w:p>
            <w:pPr>
              <w:pStyle w:val="null3"/>
              <w:ind w:firstLine="480"/>
              <w:jc w:val="left"/>
            </w:pPr>
            <w:r>
              <w:rPr>
                <w:rFonts w:ascii="仿宋_GB2312" w:hAnsi="仿宋_GB2312" w:cs="仿宋_GB2312" w:eastAsia="仿宋_GB2312"/>
                <w:sz w:val="24"/>
              </w:rPr>
              <w:t>内存与存储：根据</w:t>
            </w:r>
            <w:r>
              <w:rPr>
                <w:rFonts w:ascii="仿宋_GB2312" w:hAnsi="仿宋_GB2312" w:cs="仿宋_GB2312" w:eastAsia="仿宋_GB2312"/>
                <w:sz w:val="24"/>
              </w:rPr>
              <w:t>16万家企业数据及300万用户应用，需配置足够的内存（如64GB+）和存储容量（TB级分布式存储），支持数据快速读写。</w:t>
            </w:r>
          </w:p>
          <w:p>
            <w:pPr>
              <w:pStyle w:val="null3"/>
              <w:ind w:firstLine="480"/>
              <w:jc w:val="left"/>
            </w:pPr>
            <w:r>
              <w:rPr>
                <w:rFonts w:ascii="仿宋_GB2312" w:hAnsi="仿宋_GB2312" w:cs="仿宋_GB2312" w:eastAsia="仿宋_GB2312"/>
                <w:sz w:val="24"/>
              </w:rPr>
              <w:t>数据处理性能数据查询效率：通过索引优化、分布式数据库等技术，确保复杂查询（如企业信用画像、政策匹配分析）的响应时间</w:t>
            </w:r>
            <w:r>
              <w:rPr>
                <w:rFonts w:ascii="仿宋_GB2312" w:hAnsi="仿宋_GB2312" w:cs="仿宋_GB2312" w:eastAsia="仿宋_GB2312"/>
                <w:sz w:val="24"/>
              </w:rPr>
              <w:t>≤5秒。</w:t>
            </w:r>
          </w:p>
          <w:p>
            <w:pPr>
              <w:pStyle w:val="null3"/>
              <w:ind w:firstLine="480"/>
              <w:jc w:val="left"/>
            </w:pPr>
            <w:r>
              <w:rPr>
                <w:rFonts w:ascii="仿宋_GB2312" w:hAnsi="仿宋_GB2312" w:cs="仿宋_GB2312" w:eastAsia="仿宋_GB2312"/>
                <w:sz w:val="24"/>
              </w:rPr>
              <w:t>批量数据处理：数据迁移、清洗等批量操作需支持并行处理，例如每日处理</w:t>
            </w:r>
            <w:r>
              <w:rPr>
                <w:rFonts w:ascii="仿宋_GB2312" w:hAnsi="仿宋_GB2312" w:cs="仿宋_GB2312" w:eastAsia="仿宋_GB2312"/>
                <w:sz w:val="24"/>
              </w:rPr>
              <w:t>10万条以上数据记录时，耗时≤4小时。</w:t>
            </w:r>
          </w:p>
          <w:p>
            <w:pPr>
              <w:pStyle w:val="null3"/>
              <w:jc w:val="both"/>
              <w:outlineLvl w:val="1"/>
            </w:pPr>
            <w:r>
              <w:rPr>
                <w:rFonts w:ascii="仿宋_GB2312" w:hAnsi="仿宋_GB2312" w:cs="仿宋_GB2312" w:eastAsia="仿宋_GB2312"/>
                <w:sz w:val="24"/>
                <w:b/>
              </w:rPr>
              <w:t>2.4</w:t>
            </w:r>
            <w:r>
              <w:rPr>
                <w:rFonts w:ascii="仿宋_GB2312" w:hAnsi="仿宋_GB2312" w:cs="仿宋_GB2312" w:eastAsia="仿宋_GB2312"/>
                <w:sz w:val="24"/>
                <w:b/>
              </w:rPr>
              <w:t>可用性与稳定性</w:t>
            </w:r>
          </w:p>
          <w:p>
            <w:pPr>
              <w:pStyle w:val="null3"/>
              <w:ind w:firstLine="480"/>
              <w:jc w:val="left"/>
            </w:pPr>
            <w:r>
              <w:rPr>
                <w:rFonts w:ascii="仿宋_GB2312" w:hAnsi="仿宋_GB2312" w:cs="仿宋_GB2312" w:eastAsia="仿宋_GB2312"/>
                <w:sz w:val="24"/>
              </w:rPr>
              <w:t>系统可用性业务在线率需达到</w:t>
            </w:r>
            <w:r>
              <w:rPr>
                <w:rFonts w:ascii="仿宋_GB2312" w:hAnsi="仿宋_GB2312" w:cs="仿宋_GB2312" w:eastAsia="仿宋_GB2312"/>
                <w:sz w:val="24"/>
              </w:rPr>
              <w:t>99.99%，满足企业全天候政策申报需求。系统投入运行后，保持7×24小时稳定运行。</w:t>
            </w:r>
          </w:p>
          <w:p>
            <w:pPr>
              <w:pStyle w:val="null3"/>
              <w:spacing w:before="315" w:after="315"/>
              <w:jc w:val="both"/>
              <w:outlineLvl w:val="0"/>
            </w:pPr>
            <w:r>
              <w:rPr>
                <w:rFonts w:ascii="仿宋_GB2312" w:hAnsi="仿宋_GB2312" w:cs="仿宋_GB2312" w:eastAsia="仿宋_GB2312"/>
                <w:sz w:val="24"/>
                <w:b/>
              </w:rPr>
              <w:t>3</w:t>
            </w:r>
            <w:r>
              <w:rPr>
                <w:rFonts w:ascii="仿宋_GB2312" w:hAnsi="仿宋_GB2312" w:cs="仿宋_GB2312" w:eastAsia="仿宋_GB2312"/>
                <w:sz w:val="24"/>
                <w:b/>
              </w:rPr>
              <w:t>外部接口需求</w:t>
            </w:r>
          </w:p>
          <w:tbl>
            <w:tblPr>
              <w:tblBorders>
                <w:top w:val="none" w:color="000000" w:sz="4"/>
                <w:left w:val="none" w:color="000000" w:sz="4"/>
                <w:bottom w:val="none" w:color="000000" w:sz="4"/>
                <w:right w:val="none" w:color="000000" w:sz="4"/>
                <w:insideH w:val="none"/>
                <w:insideV w:val="none"/>
              </w:tblBorders>
            </w:tblPr>
            <w:tblGrid>
              <w:gridCol w:w="1132"/>
              <w:gridCol w:w="1421"/>
            </w:tblGrid>
            <w:tr>
              <w:tc>
                <w:tcPr>
                  <w:tcW w:type="dxa" w:w="113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pPr>
                  <w:r>
                    <w:rPr>
                      <w:rFonts w:ascii="仿宋_GB2312" w:hAnsi="仿宋_GB2312" w:cs="仿宋_GB2312" w:eastAsia="仿宋_GB2312"/>
                      <w:sz w:val="24"/>
                    </w:rPr>
                    <w:t>接口提供方</w:t>
                  </w:r>
                </w:p>
              </w:tc>
              <w:tc>
                <w:tcPr>
                  <w:tcW w:type="dxa" w:w="142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pPr>
                  <w:r>
                    <w:rPr>
                      <w:rFonts w:ascii="仿宋_GB2312" w:hAnsi="仿宋_GB2312" w:cs="仿宋_GB2312" w:eastAsia="仿宋_GB2312"/>
                      <w:sz w:val="24"/>
                    </w:rPr>
                    <w:t>接口要求</w:t>
                  </w:r>
                </w:p>
              </w:tc>
            </w:tr>
            <w:tr>
              <w:tc>
                <w:tcPr>
                  <w:tcW w:type="dxa" w:w="1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西安高新区信用金融服务平台</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政策</w:t>
                  </w:r>
                  <w:r>
                    <w:rPr>
                      <w:rFonts w:ascii="仿宋_GB2312" w:hAnsi="仿宋_GB2312" w:cs="仿宋_GB2312" w:eastAsia="仿宋_GB2312"/>
                      <w:sz w:val="24"/>
                    </w:rPr>
                    <w:t>数据同步接口</w:t>
                  </w:r>
                </w:p>
                <w:p>
                  <w:pPr>
                    <w:pStyle w:val="null3"/>
                  </w:pPr>
                  <w:r>
                    <w:rPr>
                      <w:rFonts w:ascii="仿宋_GB2312" w:hAnsi="仿宋_GB2312" w:cs="仿宋_GB2312" w:eastAsia="仿宋_GB2312"/>
                      <w:sz w:val="24"/>
                    </w:rPr>
                    <w:t>企业数据</w:t>
                  </w:r>
                  <w:r>
                    <w:rPr>
                      <w:rFonts w:ascii="仿宋_GB2312" w:hAnsi="仿宋_GB2312" w:cs="仿宋_GB2312" w:eastAsia="仿宋_GB2312"/>
                      <w:sz w:val="24"/>
                    </w:rPr>
                    <w:t>同步</w:t>
                  </w:r>
                  <w:r>
                    <w:rPr>
                      <w:rFonts w:ascii="仿宋_GB2312" w:hAnsi="仿宋_GB2312" w:cs="仿宋_GB2312" w:eastAsia="仿宋_GB2312"/>
                      <w:sz w:val="24"/>
                    </w:rPr>
                    <w:t>接口</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以磋商文件及合同要求为准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合同签订后支付合同总额的30%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完成中期服务考核后支付合同总额的40%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完成服务后支付合同总额的30%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以磋商文件及合同要求为准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磋商响应文件递交截止时间不足一年的可提供成立后任意时段的资产负债表），或其磋商时间前6个月内基本存款账户开户银行出具的资信证明（附基本存款账户证明材料）；（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营业执照或其他证明材料</w:t>
            </w:r>
          </w:p>
        </w:tc>
        <w:tc>
          <w:tcPr>
            <w:tcW w:type="dxa" w:w="3322"/>
          </w:tcPr>
          <w:p>
            <w:pPr>
              <w:pStyle w:val="null3"/>
            </w:pPr>
            <w:r>
              <w:rPr>
                <w:rFonts w:ascii="仿宋_GB2312" w:hAnsi="仿宋_GB2312" w:cs="仿宋_GB2312" w:eastAsia="仿宋_GB2312"/>
              </w:rPr>
              <w:t>供应商应具有独立承担民事责任能力的法人、其他组织或自然人，提供合法有效的营业执照或其他证明材料；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磋商响应单位代表身份</w:t>
            </w:r>
          </w:p>
        </w:tc>
        <w:tc>
          <w:tcPr>
            <w:tcW w:type="dxa" w:w="3322"/>
          </w:tcPr>
          <w:p>
            <w:pPr>
              <w:pStyle w:val="null3"/>
            </w:pPr>
            <w:r>
              <w:rPr>
                <w:rFonts w:ascii="仿宋_GB2312" w:hAnsi="仿宋_GB2312" w:cs="仿宋_GB2312" w:eastAsia="仿宋_GB2312"/>
              </w:rPr>
              <w:t>法定代表人授权书及被授权人身份证复印件（法人授权委托代表提供近六个月内任意一个月的社保证明，法定代表人直接参加磋商，须提供法定代表人身份证明及身份证复印件）；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单位负责人为同一人或者存在控股、管理关系的不同单位，不得同时参加本项目磋商，提供有效的书面声明；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本项目不允许联合体磋商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响应文件封面、响应函中体现的投项目名称、项目编号与本项目一致，且符合磋商文件签署 、盖章要求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6个月</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响应文件封面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内容至少包括①对本项目工作内容的理解及背景分析；②阐述软件升级改造的范围及流程；③系统升级改造实现的功能；④性能分析；⑤发生故障的应急预案；⑥合同履行期内的保密制度等。以上内容专门针对本项目且符合本项目实际需求的得30分，每缺一项内容扣5分 , 若上述内容存在瑕疵，每出现一处瑕疵扣1分，扣完为止。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项目实施进度</w:t>
            </w:r>
          </w:p>
        </w:tc>
        <w:tc>
          <w:tcPr>
            <w:tcW w:type="dxa" w:w="2492"/>
          </w:tcPr>
          <w:p>
            <w:pPr>
              <w:pStyle w:val="null3"/>
            </w:pPr>
            <w:r>
              <w:rPr>
                <w:rFonts w:ascii="仿宋_GB2312" w:hAnsi="仿宋_GB2312" w:cs="仿宋_GB2312" w:eastAsia="仿宋_GB2312"/>
              </w:rPr>
              <w:t>项目实施进度计划内容至少包括①项目实施进度目标分析；②进度计划安排；③项目进度保障措施等。以上内容专门针对本项目且符合本项目实际需求的得15分，每缺一项内容扣5分 , 若上述内容存在瑕疵，每出现一处瑕疵扣1分，扣完为止。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服务保证措施内容至少包括①日常维护范围及巡检安排；②有完善的预警机制及监控手段；③故障响应时间、服务方式。以上内容专门针对本项目且符合本项目实际需求的得12分，每缺一项内容扣4分 , 若上述内容存在瑕疵，每出现一处瑕疵扣1分，扣完为止。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内容至少包括①培训目标；②培训计划；③培训方式及内容；④培训质量保证措施（培训考核）等。以上内容专门针对本项目且符合本项目实际需求的得10分，每缺一项扣2.5分；若上述单项内容存在瑕疵，每存在1处瑕疵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评审内容包括但不限于①项目人团配置明细；②岗位分工及职责；③人员管理制度；④配置人员职称及工作经验等。 以上内容专门针对本项目且阐述明晰、全面、合理得8分，每缺一项内容扣2分，若上述内容存在瑕疵，每出现一处瑕疵扣1分，扣完为止。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本地化服务承诺承诺</w:t>
            </w:r>
          </w:p>
        </w:tc>
        <w:tc>
          <w:tcPr>
            <w:tcW w:type="dxa" w:w="2492"/>
          </w:tcPr>
          <w:p>
            <w:pPr>
              <w:pStyle w:val="null3"/>
            </w:pPr>
            <w:r>
              <w:rPr>
                <w:rFonts w:ascii="仿宋_GB2312" w:hAnsi="仿宋_GB2312" w:cs="仿宋_GB2312" w:eastAsia="仿宋_GB2312"/>
              </w:rPr>
              <w:t>在本地设有常驻机构，有固定营业办公场所。（需提供场地照片）。按其响应程度得5分，须提供承诺书； 若存在瑕疵，每存在1处瑕疵扣1分，扣完为止。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供应商提供近三年2023年1月1日（以中标（成交）通知书或合同签订时间为准）至今具有类似项目业绩，每提供一项得 2分，满分 10 分。（以磋商响应文件中合同或合同关键页（必须含封面、内容、签订时间、盖章签字页等信息）或中标（成交）通知书加盖公章的扫描件为准，未提供不得分）。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磋商报价得分=（评审基准价/最后磋商报价）×价格权值×100%。注：磋商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