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F37B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color w:val="auto"/>
          <w:sz w:val="44"/>
          <w:szCs w:val="44"/>
          <w:highlight w:val="none"/>
          <w:lang w:val="en-US" w:eastAsia="zh-CN"/>
        </w:rPr>
      </w:pPr>
      <w:bookmarkStart w:id="0" w:name="_Toc15985"/>
      <w:bookmarkStart w:id="1" w:name="_Toc11059"/>
    </w:p>
    <w:p w14:paraId="0C082B6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color w:val="auto"/>
          <w:sz w:val="44"/>
          <w:szCs w:val="44"/>
          <w:highlight w:val="none"/>
          <w:lang w:val="en-US" w:eastAsia="zh-CN"/>
        </w:rPr>
      </w:pPr>
    </w:p>
    <w:p w14:paraId="4D37068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color w:val="auto"/>
          <w:sz w:val="44"/>
          <w:szCs w:val="44"/>
          <w:highlight w:val="none"/>
          <w:lang w:val="en-US" w:eastAsia="zh-CN"/>
        </w:rPr>
      </w:pPr>
    </w:p>
    <w:p w14:paraId="7B3B33F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西安高新区第</w:t>
      </w:r>
      <w:bookmarkEnd w:id="0"/>
      <w:bookmarkStart w:id="2" w:name="_Toc21204"/>
      <w:r>
        <w:rPr>
          <w:rFonts w:hint="eastAsia" w:ascii="宋体" w:hAnsi="宋体" w:cs="宋体"/>
          <w:b/>
          <w:bCs/>
          <w:color w:val="auto"/>
          <w:sz w:val="44"/>
          <w:szCs w:val="44"/>
          <w:highlight w:val="none"/>
          <w:lang w:val="en-US" w:eastAsia="zh-CN"/>
        </w:rPr>
        <w:t>十八小学</w:t>
      </w:r>
    </w:p>
    <w:bookmarkEnd w:id="1"/>
    <w:bookmarkEnd w:id="2"/>
    <w:p w14:paraId="04DA0E2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4"/>
          <w:szCs w:val="44"/>
          <w:highlight w:val="none"/>
          <w:lang w:val="zh-CN"/>
        </w:rPr>
      </w:pPr>
      <w:r>
        <w:rPr>
          <w:rFonts w:hint="eastAsia" w:ascii="宋体" w:hAnsi="宋体" w:cs="宋体"/>
          <w:b/>
          <w:bCs/>
          <w:color w:val="auto"/>
          <w:sz w:val="44"/>
          <w:szCs w:val="44"/>
          <w:highlight w:val="none"/>
          <w:lang w:val="en-US" w:eastAsia="zh-CN"/>
        </w:rPr>
        <w:t>后勤服务外包采购项目合同</w:t>
      </w:r>
    </w:p>
    <w:p w14:paraId="0B184E0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14:paraId="39AC94B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44"/>
          <w:szCs w:val="44"/>
          <w:highlight w:val="none"/>
          <w:lang w:val="en-US" w:eastAsia="zh-CN"/>
        </w:rPr>
      </w:pPr>
    </w:p>
    <w:p w14:paraId="4216837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44"/>
          <w:szCs w:val="44"/>
          <w:highlight w:val="none"/>
          <w:lang w:val="en-US" w:eastAsia="zh-CN"/>
        </w:rPr>
      </w:pPr>
    </w:p>
    <w:p w14:paraId="5B9C259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44"/>
          <w:szCs w:val="44"/>
          <w:highlight w:val="none"/>
          <w:lang w:val="en-US" w:eastAsia="zh-CN"/>
        </w:rPr>
      </w:pPr>
    </w:p>
    <w:p w14:paraId="42C6EF5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宋体" w:hAnsi="宋体" w:cs="宋体"/>
          <w:b/>
          <w:bCs/>
          <w:color w:val="auto"/>
          <w:sz w:val="30"/>
          <w:szCs w:val="30"/>
          <w:highlight w:val="none"/>
          <w:u w:val="single"/>
          <w:lang w:val="en-US" w:eastAsia="zh-CN"/>
        </w:rPr>
      </w:pPr>
      <w:r>
        <w:rPr>
          <w:rFonts w:hint="eastAsia" w:ascii="宋体" w:hAnsi="宋体" w:cs="宋体"/>
          <w:b/>
          <w:bCs/>
          <w:color w:val="auto"/>
          <w:sz w:val="30"/>
          <w:szCs w:val="30"/>
          <w:highlight w:val="none"/>
          <w:lang w:val="en-US" w:eastAsia="zh-CN"/>
        </w:rPr>
        <w:t>项目名称：</w:t>
      </w:r>
      <w:r>
        <w:rPr>
          <w:rFonts w:hint="eastAsia" w:ascii="宋体" w:hAnsi="宋体" w:cs="宋体"/>
          <w:b/>
          <w:bCs/>
          <w:color w:val="auto"/>
          <w:sz w:val="30"/>
          <w:szCs w:val="30"/>
          <w:highlight w:val="none"/>
          <w:u w:val="single"/>
          <w:lang w:val="en-US" w:eastAsia="zh-CN"/>
        </w:rPr>
        <w:t xml:space="preserve">                </w:t>
      </w:r>
    </w:p>
    <w:p w14:paraId="2851843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r>
        <w:rPr>
          <w:rFonts w:hint="eastAsia" w:ascii="宋体" w:hAnsi="宋体" w:cs="宋体"/>
          <w:b/>
          <w:bCs/>
          <w:color w:val="auto"/>
          <w:sz w:val="30"/>
          <w:szCs w:val="30"/>
          <w:highlight w:val="none"/>
          <w:lang w:val="en-US" w:eastAsia="zh-CN"/>
        </w:rPr>
        <w:t xml:space="preserve">项目编号: </w:t>
      </w:r>
      <w:r>
        <w:rPr>
          <w:rFonts w:hint="eastAsia" w:ascii="宋体" w:hAnsi="宋体" w:cs="宋体"/>
          <w:b/>
          <w:bCs/>
          <w:color w:val="auto"/>
          <w:sz w:val="30"/>
          <w:szCs w:val="30"/>
          <w:highlight w:val="none"/>
          <w:u w:val="single"/>
          <w:lang w:val="en-US" w:eastAsia="zh-CN"/>
        </w:rPr>
        <w:t xml:space="preserve">                </w:t>
      </w:r>
    </w:p>
    <w:p w14:paraId="1C23F14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u w:val="single"/>
          <w:lang w:val="en-US" w:eastAsia="zh-CN"/>
        </w:rPr>
      </w:pPr>
      <w:r>
        <w:rPr>
          <w:rFonts w:hint="eastAsia" w:ascii="宋体" w:hAnsi="宋体" w:cs="宋体"/>
          <w:b/>
          <w:bCs/>
          <w:color w:val="auto"/>
          <w:sz w:val="30"/>
          <w:szCs w:val="30"/>
          <w:highlight w:val="none"/>
          <w:lang w:val="en-US" w:eastAsia="zh-CN"/>
        </w:rPr>
        <w:t>甲    方：</w:t>
      </w:r>
      <w:r>
        <w:rPr>
          <w:rFonts w:hint="eastAsia" w:ascii="宋体" w:hAnsi="宋体" w:cs="宋体"/>
          <w:b/>
          <w:bCs/>
          <w:color w:val="auto"/>
          <w:sz w:val="30"/>
          <w:szCs w:val="30"/>
          <w:highlight w:val="none"/>
          <w:u w:val="single"/>
          <w:lang w:val="en-US" w:eastAsia="zh-CN"/>
        </w:rPr>
        <w:t xml:space="preserve">        西安高新区第十八小学      </w:t>
      </w:r>
    </w:p>
    <w:p w14:paraId="433ECD0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r>
        <w:rPr>
          <w:rFonts w:hint="eastAsia" w:ascii="宋体" w:hAnsi="宋体" w:cs="宋体"/>
          <w:b/>
          <w:bCs/>
          <w:color w:val="auto"/>
          <w:sz w:val="30"/>
          <w:szCs w:val="30"/>
          <w:highlight w:val="none"/>
          <w:lang w:val="en-US" w:eastAsia="zh-CN"/>
        </w:rPr>
        <w:t>乙    方：</w:t>
      </w:r>
      <w:r>
        <w:rPr>
          <w:rFonts w:hint="eastAsia" w:ascii="宋体" w:hAnsi="宋体" w:cs="宋体"/>
          <w:b/>
          <w:bCs/>
          <w:color w:val="auto"/>
          <w:sz w:val="30"/>
          <w:szCs w:val="30"/>
          <w:highlight w:val="none"/>
          <w:u w:val="single"/>
          <w:lang w:val="en-US" w:eastAsia="zh-CN"/>
        </w:rPr>
        <w:t xml:space="preserve">                                   </w:t>
      </w:r>
    </w:p>
    <w:p w14:paraId="5AD2872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p>
    <w:p w14:paraId="758AABE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p>
    <w:p w14:paraId="465FF1A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p>
    <w:p w14:paraId="3F2201F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cs="宋体"/>
          <w:b/>
          <w:bCs/>
          <w:color w:val="auto"/>
          <w:sz w:val="30"/>
          <w:szCs w:val="30"/>
          <w:highlight w:val="none"/>
          <w:lang w:val="en-US" w:eastAsia="zh-CN"/>
        </w:rPr>
      </w:pPr>
    </w:p>
    <w:p w14:paraId="1D62594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宋体" w:hAnsi="宋体" w:cs="宋体"/>
          <w:b/>
          <w:bCs/>
          <w:color w:val="auto"/>
          <w:sz w:val="30"/>
          <w:szCs w:val="30"/>
          <w:highlight w:val="none"/>
          <w:lang w:val="en-US" w:eastAsia="zh-CN"/>
        </w:rPr>
      </w:pPr>
      <w:r>
        <w:rPr>
          <w:rFonts w:hint="eastAsia" w:ascii="宋体" w:hAnsi="宋体" w:cs="宋体"/>
          <w:b/>
          <w:bCs/>
          <w:color w:val="auto"/>
          <w:sz w:val="30"/>
          <w:szCs w:val="30"/>
          <w:highlight w:val="none"/>
          <w:lang w:val="en-US" w:eastAsia="zh-CN"/>
        </w:rPr>
        <w:t>签署日期：      年      月     日</w:t>
      </w:r>
    </w:p>
    <w:p w14:paraId="566F3CF3">
      <w:pPr>
        <w:rPr>
          <w:rFonts w:hint="eastAsia" w:ascii="宋体" w:hAnsi="宋体" w:cs="宋体"/>
          <w:bCs/>
          <w:color w:val="auto"/>
          <w:sz w:val="24"/>
          <w:szCs w:val="24"/>
          <w:highlight w:val="none"/>
        </w:rPr>
      </w:pPr>
    </w:p>
    <w:p w14:paraId="3DD9FBFA">
      <w:pPr>
        <w:rPr>
          <w:rFonts w:hint="eastAsia" w:ascii="宋体" w:hAnsi="宋体" w:cs="宋体"/>
          <w:bCs/>
          <w:color w:val="auto"/>
          <w:sz w:val="24"/>
          <w:szCs w:val="24"/>
          <w:highlight w:val="none"/>
        </w:rPr>
      </w:pPr>
    </w:p>
    <w:p w14:paraId="1D7FC247">
      <w:pPr>
        <w:rPr>
          <w:rFonts w:hint="eastAsia" w:ascii="宋体" w:hAnsi="宋体" w:cs="宋体"/>
          <w:bCs/>
          <w:color w:val="auto"/>
          <w:sz w:val="24"/>
          <w:szCs w:val="24"/>
          <w:highlight w:val="none"/>
        </w:rPr>
      </w:pPr>
    </w:p>
    <w:p w14:paraId="232FD429">
      <w:pPr>
        <w:rPr>
          <w:rFonts w:hint="eastAsia" w:ascii="宋体" w:hAnsi="宋体" w:cs="宋体"/>
          <w:bCs/>
          <w:color w:val="auto"/>
          <w:sz w:val="24"/>
          <w:szCs w:val="24"/>
          <w:highlight w:val="none"/>
        </w:rPr>
      </w:pPr>
    </w:p>
    <w:p w14:paraId="134AA079">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br w:type="page"/>
      </w:r>
    </w:p>
    <w:p w14:paraId="37A71B1D">
      <w:pPr>
        <w:rPr>
          <w:rFonts w:hint="eastAsia" w:ascii="宋体" w:hAnsi="宋体" w:cs="宋体"/>
          <w:bCs/>
          <w:color w:val="auto"/>
          <w:sz w:val="24"/>
          <w:szCs w:val="24"/>
          <w:highlight w:val="none"/>
        </w:rPr>
      </w:pPr>
    </w:p>
    <w:sdt>
      <w:sdtPr>
        <w:rPr>
          <w:rFonts w:ascii="宋体" w:hAnsi="宋体" w:eastAsia="宋体" w:cs="Times New Roman"/>
          <w:kern w:val="2"/>
          <w:sz w:val="21"/>
          <w:szCs w:val="21"/>
          <w:lang w:val="en-US" w:eastAsia="zh-CN" w:bidi="ar-SA"/>
        </w:rPr>
        <w:id w:val="147480474"/>
        <w15:color w:val="DBDBDB"/>
        <w:docPartObj>
          <w:docPartGallery w:val="Table of Contents"/>
          <w:docPartUnique/>
        </w:docPartObj>
      </w:sdtPr>
      <w:sdtEndPr>
        <w:rPr>
          <w:rFonts w:ascii="宋体" w:hAnsi="宋体" w:eastAsia="宋体" w:cs="Times New Roman"/>
          <w:b/>
          <w:bCs/>
          <w:kern w:val="2"/>
          <w:sz w:val="21"/>
          <w:szCs w:val="21"/>
          <w:lang w:val="en-US" w:eastAsia="zh-CN" w:bidi="ar-SA"/>
        </w:rPr>
      </w:sdtEndPr>
      <w:sdtContent>
        <w:p w14:paraId="6C642F8F">
          <w:pPr>
            <w:spacing w:before="0" w:beforeLines="0" w:after="0" w:afterLines="0" w:line="240" w:lineRule="auto"/>
            <w:ind w:left="0" w:leftChars="0" w:right="0" w:rightChars="0"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目</w:t>
          </w:r>
          <w:r>
            <w:rPr>
              <w:rFonts w:hint="eastAsia" w:ascii="宋体" w:hAnsi="宋体" w:cs="宋体"/>
              <w:b/>
              <w:bCs/>
              <w:sz w:val="24"/>
              <w:szCs w:val="24"/>
              <w:lang w:val="en-US" w:eastAsia="zh-CN"/>
            </w:rPr>
            <w:t xml:space="preserve">  </w:t>
          </w:r>
          <w:r>
            <w:rPr>
              <w:rFonts w:hint="eastAsia" w:ascii="宋体" w:hAnsi="宋体" w:eastAsia="宋体" w:cs="宋体"/>
              <w:b/>
              <w:bCs/>
              <w:sz w:val="24"/>
              <w:szCs w:val="24"/>
            </w:rPr>
            <w:t>录</w:t>
          </w:r>
        </w:p>
        <w:p w14:paraId="77102C91">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TOC \o "1-1" \h \u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_Toc21204 </w:instrText>
          </w:r>
          <w:r>
            <w:rPr>
              <w:rFonts w:hint="eastAsia" w:ascii="宋体" w:hAnsi="宋体" w:eastAsia="宋体" w:cs="宋体"/>
              <w:b/>
              <w:bCs/>
              <w:sz w:val="24"/>
              <w:szCs w:val="24"/>
            </w:rPr>
            <w:fldChar w:fldCharType="separate"/>
          </w:r>
          <w:r>
            <w:rPr>
              <w:rFonts w:hint="eastAsia" w:ascii="宋体" w:hAnsi="宋体" w:cs="宋体"/>
              <w:b/>
              <w:bCs/>
              <w:sz w:val="24"/>
              <w:szCs w:val="24"/>
              <w:highlight w:val="none"/>
              <w:lang w:val="en-US" w:eastAsia="zh-CN"/>
            </w:rPr>
            <w:t>后勤服务外包采购项目合同</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_Toc21204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1</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5F308E1A">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_Toc17766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rPr>
            <w:t>一、合同价款</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_Toc17766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3</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63EBAF9C">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_Toc25450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rPr>
            <w:t>二、</w:t>
          </w:r>
          <w:r>
            <w:rPr>
              <w:rFonts w:hint="eastAsia" w:ascii="宋体" w:hAnsi="宋体" w:eastAsia="宋体" w:cs="宋体"/>
              <w:b/>
              <w:bCs/>
              <w:sz w:val="24"/>
              <w:szCs w:val="24"/>
              <w:highlight w:val="none"/>
              <w:lang w:val="en-US" w:eastAsia="zh-CN"/>
            </w:rPr>
            <w:t>服务</w:t>
          </w:r>
          <w:r>
            <w:rPr>
              <w:rFonts w:hint="eastAsia" w:ascii="宋体" w:hAnsi="宋体" w:eastAsia="宋体" w:cs="宋体"/>
              <w:b/>
              <w:bCs/>
              <w:sz w:val="24"/>
              <w:szCs w:val="24"/>
              <w:highlight w:val="none"/>
            </w:rPr>
            <w:t>内容</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_Toc25450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3</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21E4C41C">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_Toc22879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rPr>
            <w:t>三、付款方式</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_Toc22879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8</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2451D0A2">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_Toc13296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rPr>
            <w:t>四、履行期限及地点</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_Toc13296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8</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69309EEA">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_Toc10656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lang w:val="en-US" w:eastAsia="zh-CN"/>
            </w:rPr>
            <w:t>五、</w:t>
          </w:r>
          <w:r>
            <w:rPr>
              <w:rFonts w:hint="eastAsia" w:ascii="宋体" w:hAnsi="宋体" w:cs="宋体"/>
              <w:b/>
              <w:bCs/>
              <w:sz w:val="24"/>
              <w:szCs w:val="24"/>
              <w:highlight w:val="none"/>
              <w:lang w:val="en-US" w:eastAsia="zh-CN"/>
            </w:rPr>
            <w:t>甲乙方义务</w:t>
          </w:r>
          <w:r>
            <w:rPr>
              <w:rFonts w:hint="eastAsia" w:ascii="宋体" w:hAnsi="宋体" w:eastAsia="宋体" w:cs="宋体"/>
              <w:b/>
              <w:bCs/>
              <w:sz w:val="24"/>
              <w:szCs w:val="24"/>
            </w:rPr>
            <w:tab/>
          </w:r>
          <w:r>
            <w:rPr>
              <w:rFonts w:hint="eastAsia" w:ascii="宋体" w:hAnsi="宋体" w:eastAsia="宋体" w:cs="宋体"/>
              <w:b/>
              <w:bCs/>
              <w:sz w:val="24"/>
              <w:szCs w:val="24"/>
            </w:rPr>
            <w:fldChar w:fldCharType="end"/>
          </w:r>
          <w:r>
            <w:rPr>
              <w:rFonts w:hint="eastAsia" w:ascii="宋体" w:hAnsi="宋体" w:cs="宋体"/>
              <w:b/>
              <w:bCs/>
              <w:sz w:val="24"/>
              <w:szCs w:val="24"/>
              <w:lang w:val="en-US" w:eastAsia="zh-CN"/>
            </w:rPr>
            <w:t>8</w:t>
          </w:r>
        </w:p>
        <w:p w14:paraId="1CF28595">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_Toc18519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rPr>
            <w:t>六、</w:t>
          </w:r>
          <w:r>
            <w:rPr>
              <w:rFonts w:hint="eastAsia" w:ascii="宋体" w:hAnsi="宋体" w:eastAsia="宋体" w:cs="宋体"/>
              <w:b/>
              <w:bCs/>
              <w:sz w:val="24"/>
              <w:szCs w:val="24"/>
              <w:highlight w:val="none"/>
              <w:lang w:val="en-US" w:eastAsia="zh-CN"/>
            </w:rPr>
            <w:t>违约责任</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_Toc18519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8</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3D668A7C">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_Toc32015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lang w:val="en-US" w:eastAsia="zh-CN"/>
            </w:rPr>
            <w:t>七、合同争议解决的方式</w:t>
          </w:r>
          <w:r>
            <w:rPr>
              <w:rFonts w:hint="eastAsia" w:ascii="宋体" w:hAnsi="宋体" w:eastAsia="宋体" w:cs="宋体"/>
              <w:b/>
              <w:bCs/>
              <w:sz w:val="24"/>
              <w:szCs w:val="24"/>
            </w:rPr>
            <w:tab/>
          </w:r>
          <w:r>
            <w:rPr>
              <w:rFonts w:hint="eastAsia" w:ascii="宋体" w:hAnsi="宋体" w:cs="宋体"/>
              <w:b/>
              <w:bCs/>
              <w:sz w:val="24"/>
              <w:szCs w:val="24"/>
              <w:lang w:val="en-US" w:eastAsia="zh-CN"/>
            </w:rPr>
            <w:t>9</w:t>
          </w:r>
          <w:r>
            <w:rPr>
              <w:rFonts w:hint="eastAsia" w:ascii="宋体" w:hAnsi="宋体" w:eastAsia="宋体" w:cs="宋体"/>
              <w:b/>
              <w:bCs/>
              <w:sz w:val="24"/>
              <w:szCs w:val="24"/>
            </w:rPr>
            <w:fldChar w:fldCharType="end"/>
          </w:r>
        </w:p>
        <w:p w14:paraId="39015D1E">
          <w:pPr>
            <w:pStyle w:val="10"/>
            <w:keepNext w:val="0"/>
            <w:keepLines w:val="0"/>
            <w:pageBreakBefore w:val="0"/>
            <w:widowControl w:val="0"/>
            <w:tabs>
              <w:tab w:val="right" w:leader="dot" w:pos="8306"/>
            </w:tabs>
            <w:kinsoku/>
            <w:wordWrap/>
            <w:overflowPunct/>
            <w:topLinePunct w:val="0"/>
            <w:autoSpaceDE/>
            <w:autoSpaceDN/>
            <w:bidi w:val="0"/>
            <w:adjustRightInd/>
            <w:snapToGrid/>
            <w:spacing w:line="7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_Toc15295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highlight w:val="none"/>
              <w:lang w:val="en-US" w:eastAsia="zh-CN"/>
            </w:rPr>
            <w:t>八、合同生效</w:t>
          </w:r>
          <w:r>
            <w:rPr>
              <w:rFonts w:hint="eastAsia" w:ascii="宋体" w:hAnsi="宋体" w:eastAsia="宋体" w:cs="宋体"/>
              <w:b/>
              <w:bCs/>
              <w:sz w:val="24"/>
              <w:szCs w:val="24"/>
            </w:rPr>
            <w:tab/>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PAGEREF _Toc15295 \h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9</w:t>
          </w:r>
          <w:r>
            <w:rPr>
              <w:rFonts w:hint="eastAsia" w:ascii="宋体" w:hAnsi="宋体" w:eastAsia="宋体" w:cs="宋体"/>
              <w:b/>
              <w:bCs/>
              <w:sz w:val="24"/>
              <w:szCs w:val="24"/>
            </w:rPr>
            <w:fldChar w:fldCharType="end"/>
          </w:r>
          <w:r>
            <w:rPr>
              <w:rFonts w:hint="eastAsia" w:ascii="宋体" w:hAnsi="宋体" w:eastAsia="宋体" w:cs="宋体"/>
              <w:b/>
              <w:bCs/>
              <w:sz w:val="24"/>
              <w:szCs w:val="24"/>
            </w:rPr>
            <w:fldChar w:fldCharType="end"/>
          </w:r>
        </w:p>
        <w:p w14:paraId="2E459AD9">
          <w:pPr>
            <w:keepNext w:val="0"/>
            <w:keepLines w:val="0"/>
            <w:pageBreakBefore w:val="0"/>
            <w:widowControl w:val="0"/>
            <w:kinsoku/>
            <w:wordWrap/>
            <w:overflowPunct/>
            <w:topLinePunct w:val="0"/>
            <w:autoSpaceDE/>
            <w:autoSpaceDN/>
            <w:bidi w:val="0"/>
            <w:adjustRightInd/>
            <w:snapToGrid/>
            <w:spacing w:line="700" w:lineRule="exact"/>
            <w:textAlignment w:val="auto"/>
            <w:rPr>
              <w:rFonts w:ascii="宋体" w:hAnsi="宋体" w:eastAsia="宋体" w:cs="Times New Roman"/>
              <w:b/>
              <w:bCs/>
              <w:kern w:val="2"/>
              <w:sz w:val="21"/>
              <w:szCs w:val="21"/>
              <w:lang w:val="en-US" w:eastAsia="zh-CN" w:bidi="ar-SA"/>
            </w:rPr>
          </w:pPr>
          <w:r>
            <w:rPr>
              <w:rFonts w:hint="eastAsia" w:ascii="宋体" w:hAnsi="宋体" w:eastAsia="宋体" w:cs="宋体"/>
              <w:b/>
              <w:bCs/>
              <w:sz w:val="24"/>
              <w:szCs w:val="24"/>
            </w:rPr>
            <w:fldChar w:fldCharType="end"/>
          </w:r>
          <w:r>
            <w:rPr>
              <w:rFonts w:hint="eastAsia" w:ascii="宋体" w:hAnsi="宋体" w:cs="宋体"/>
              <w:b/>
              <w:bCs/>
              <w:sz w:val="24"/>
              <w:szCs w:val="24"/>
              <w:lang w:val="en-US" w:eastAsia="zh-CN"/>
            </w:rPr>
            <w:t>九、合同附件.......................................................10</w:t>
          </w:r>
        </w:p>
      </w:sdtContent>
    </w:sdt>
    <w:p w14:paraId="29F6DA14">
      <w:pPr>
        <w:rPr>
          <w:rFonts w:hint="default" w:eastAsia="宋体"/>
          <w:b/>
          <w:bCs/>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宋体" w:hAnsi="宋体" w:eastAsia="宋体" w:cs="宋体"/>
          <w:b/>
          <w:bCs/>
          <w:sz w:val="24"/>
          <w:szCs w:val="24"/>
        </w:rPr>
        <w:tab/>
      </w:r>
      <w:bookmarkStart w:id="10" w:name="_GoBack"/>
      <w:bookmarkEnd w:id="10"/>
    </w:p>
    <w:p w14:paraId="7EE7FA5B">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u w:val="single"/>
          <w:lang w:val="en-US" w:eastAsia="zh-CN"/>
        </w:rPr>
      </w:pPr>
      <w:r>
        <w:rPr>
          <w:rFonts w:hint="eastAsia" w:ascii="宋体" w:hAnsi="宋体" w:cs="宋体"/>
          <w:bCs/>
          <w:color w:val="auto"/>
          <w:sz w:val="24"/>
          <w:szCs w:val="24"/>
          <w:highlight w:val="none"/>
        </w:rPr>
        <w:t>甲方：</w:t>
      </w:r>
      <w:r>
        <w:rPr>
          <w:rFonts w:hint="eastAsia" w:ascii="宋体" w:hAnsi="宋体" w:cs="宋体"/>
          <w:bCs/>
          <w:color w:val="auto"/>
          <w:sz w:val="24"/>
          <w:szCs w:val="24"/>
          <w:highlight w:val="none"/>
          <w:u w:val="single"/>
          <w:lang w:val="en-US" w:eastAsia="zh-CN"/>
        </w:rPr>
        <w:t xml:space="preserve"> 西安高新区第十八小学</w:t>
      </w:r>
    </w:p>
    <w:p w14:paraId="267B1856">
      <w:pPr>
        <w:autoSpaceDE w:val="0"/>
        <w:autoSpaceDN w:val="0"/>
        <w:adjustRightInd w:val="0"/>
        <w:spacing w:line="360" w:lineRule="auto"/>
        <w:ind w:firstLine="480" w:firstLineChars="200"/>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乙方：</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single"/>
        </w:rPr>
        <w:t xml:space="preserve"> </w:t>
      </w:r>
    </w:p>
    <w:p w14:paraId="75A2A56A">
      <w:pPr>
        <w:autoSpaceDE w:val="0"/>
        <w:autoSpaceDN w:val="0"/>
        <w:adjustRightInd w:val="0"/>
        <w:spacing w:line="360" w:lineRule="auto"/>
        <w:ind w:firstLine="480" w:firstLineChars="200"/>
        <w:rPr>
          <w:rFonts w:hint="eastAsia" w:ascii="宋体" w:hAnsi="宋体" w:cs="宋体"/>
          <w:bCs/>
          <w:color w:val="auto"/>
          <w:sz w:val="24"/>
          <w:szCs w:val="24"/>
          <w:highlight w:val="none"/>
        </w:rPr>
      </w:pPr>
      <w:r>
        <w:rPr>
          <w:rFonts w:hint="eastAsia" w:ascii="宋体" w:hAnsi="宋体" w:cs="宋体"/>
          <w:color w:val="auto"/>
          <w:sz w:val="24"/>
          <w:szCs w:val="24"/>
          <w:highlight w:val="none"/>
          <w:u w:val="single"/>
          <w:lang w:val="en-US" w:eastAsia="zh-CN"/>
        </w:rPr>
        <w:t xml:space="preserve">                          </w:t>
      </w:r>
      <w:r>
        <w:rPr>
          <w:rFonts w:hint="eastAsia" w:ascii="宋体" w:hAnsi="宋体" w:cs="宋体"/>
          <w:bCs/>
          <w:color w:val="auto"/>
          <w:sz w:val="24"/>
          <w:szCs w:val="24"/>
          <w:highlight w:val="none"/>
        </w:rPr>
        <w:t>(项目编号</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rPr>
        <w:t>)在由</w:t>
      </w:r>
      <w:r>
        <w:rPr>
          <w:rFonts w:hint="eastAsia" w:ascii="宋体" w:hAnsi="宋体" w:cs="宋体"/>
          <w:bCs/>
          <w:color w:val="auto"/>
          <w:sz w:val="24"/>
          <w:szCs w:val="24"/>
          <w:highlight w:val="none"/>
          <w:lang w:eastAsia="zh-CN"/>
        </w:rPr>
        <w:t>陕西健坤工程造价咨询有限公司</w:t>
      </w:r>
      <w:r>
        <w:rPr>
          <w:rFonts w:hint="eastAsia" w:ascii="宋体" w:hAnsi="宋体" w:cs="宋体"/>
          <w:bCs/>
          <w:color w:val="auto"/>
          <w:sz w:val="24"/>
          <w:szCs w:val="24"/>
          <w:highlight w:val="none"/>
        </w:rPr>
        <w:t>组织</w:t>
      </w:r>
      <w:r>
        <w:rPr>
          <w:rFonts w:hint="eastAsia" w:ascii="宋体" w:hAnsi="宋体" w:cs="宋体"/>
          <w:bCs/>
          <w:color w:val="auto"/>
          <w:sz w:val="24"/>
          <w:szCs w:val="24"/>
          <w:highlight w:val="none"/>
          <w:lang w:val="en-US" w:eastAsia="zh-CN"/>
        </w:rPr>
        <w:t>竞争性磋商</w:t>
      </w:r>
      <w:r>
        <w:rPr>
          <w:rFonts w:hint="eastAsia" w:ascii="宋体" w:hAnsi="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西安高新区</w:t>
      </w:r>
      <w:r>
        <w:rPr>
          <w:rFonts w:hint="eastAsia" w:ascii="宋体" w:hAnsi="宋体" w:cs="宋体"/>
          <w:bCs/>
          <w:color w:val="auto"/>
          <w:sz w:val="24"/>
          <w:szCs w:val="24"/>
          <w:highlight w:val="none"/>
          <w:u w:val="single"/>
          <w:lang w:val="en-US" w:eastAsia="zh-CN"/>
        </w:rPr>
        <w:t>第十八小学</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rPr>
        <w:t>(以下简称“甲方”)确定</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（以下简称“乙方”）为</w:t>
      </w:r>
      <w:r>
        <w:rPr>
          <w:rFonts w:hint="eastAsia" w:ascii="宋体" w:hAnsi="宋体" w:cs="宋体"/>
          <w:bCs/>
          <w:color w:val="auto"/>
          <w:sz w:val="24"/>
          <w:szCs w:val="24"/>
          <w:highlight w:val="none"/>
          <w:lang w:eastAsia="zh-CN"/>
        </w:rPr>
        <w:t>成交供应商</w:t>
      </w:r>
      <w:r>
        <w:rPr>
          <w:rFonts w:hint="eastAsia" w:ascii="宋体" w:hAnsi="宋体" w:cs="宋体"/>
          <w:bCs/>
          <w:color w:val="auto"/>
          <w:sz w:val="24"/>
          <w:szCs w:val="24"/>
          <w:highlight w:val="none"/>
        </w:rPr>
        <w:t>。</w:t>
      </w:r>
    </w:p>
    <w:p w14:paraId="5B3D93A2">
      <w:pPr>
        <w:autoSpaceDE w:val="0"/>
        <w:autoSpaceDN w:val="0"/>
        <w:adjustRightInd w:val="0"/>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依据《</w:t>
      </w:r>
      <w:r>
        <w:rPr>
          <w:rFonts w:hint="eastAsia" w:ascii="宋体" w:hAnsi="宋体" w:cs="宋体"/>
          <w:color w:val="auto"/>
          <w:sz w:val="24"/>
          <w:szCs w:val="24"/>
          <w:highlight w:val="none"/>
          <w:lang w:val="zh-CN"/>
        </w:rPr>
        <w:t>中华人民共和国</w:t>
      </w:r>
      <w:r>
        <w:rPr>
          <w:rFonts w:hint="eastAsia" w:ascii="宋体" w:hAnsi="宋体" w:cs="宋体"/>
          <w:color w:val="auto"/>
          <w:sz w:val="24"/>
          <w:szCs w:val="24"/>
          <w:highlight w:val="none"/>
        </w:rPr>
        <w:t>民法典</w:t>
      </w:r>
      <w:r>
        <w:rPr>
          <w:rFonts w:hint="eastAsia" w:ascii="宋体" w:hAnsi="宋体" w:cs="宋体"/>
          <w:bCs/>
          <w:color w:val="auto"/>
          <w:sz w:val="24"/>
          <w:szCs w:val="24"/>
          <w:highlight w:val="none"/>
        </w:rPr>
        <w:t>》和《中华人民共和国政府采购法》，经双方协商按下述条款和条件签署本合同。</w:t>
      </w:r>
    </w:p>
    <w:p w14:paraId="3BEFE922">
      <w:pPr>
        <w:autoSpaceDE w:val="0"/>
        <w:autoSpaceDN w:val="0"/>
        <w:adjustRightInd w:val="0"/>
        <w:spacing w:line="360" w:lineRule="auto"/>
        <w:outlineLvl w:val="0"/>
        <w:rPr>
          <w:rFonts w:hint="eastAsia" w:ascii="宋体" w:hAnsi="宋体" w:eastAsia="宋体" w:cs="宋体"/>
          <w:b/>
          <w:bCs/>
          <w:color w:val="auto"/>
          <w:sz w:val="28"/>
          <w:szCs w:val="28"/>
          <w:highlight w:val="none"/>
        </w:rPr>
      </w:pPr>
      <w:bookmarkStart w:id="3" w:name="_Toc17766"/>
      <w:r>
        <w:rPr>
          <w:rFonts w:hint="eastAsia" w:ascii="宋体" w:hAnsi="宋体" w:eastAsia="宋体" w:cs="宋体"/>
          <w:b/>
          <w:bCs/>
          <w:color w:val="auto"/>
          <w:sz w:val="28"/>
          <w:szCs w:val="28"/>
          <w:highlight w:val="none"/>
        </w:rPr>
        <w:t>一、合同价款</w:t>
      </w:r>
      <w:bookmarkEnd w:id="3"/>
    </w:p>
    <w:p w14:paraId="787913E1">
      <w:pPr>
        <w:autoSpaceDE w:val="0"/>
        <w:autoSpaceDN w:val="0"/>
        <w:adjustRightInd w:val="0"/>
        <w:spacing w:line="360" w:lineRule="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一</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合同总价款为人民币（大写）</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元整</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rPr>
        <w:t>（</w:t>
      </w:r>
      <w:r>
        <w:rPr>
          <w:rFonts w:hint="eastAsia" w:ascii="宋体" w:hAnsi="宋体" w:eastAsia="宋体" w:cs="宋体"/>
          <w:bCs/>
          <w:color w:val="auto"/>
          <w:sz w:val="24"/>
          <w:szCs w:val="24"/>
          <w:highlight w:val="none"/>
          <w:u w:val="none"/>
          <w:lang w:val="en-US" w:eastAsia="zh-CN"/>
        </w:rPr>
        <w:t>¥</w:t>
      </w:r>
      <w:r>
        <w:rPr>
          <w:rFonts w:hint="eastAsia" w:ascii="宋体" w:hAnsi="宋体" w:cs="宋体"/>
          <w:bCs/>
          <w:color w:val="auto"/>
          <w:sz w:val="24"/>
          <w:szCs w:val="24"/>
          <w:highlight w:val="none"/>
          <w:u w:val="none"/>
          <w:lang w:val="en-US" w:eastAsia="zh-CN"/>
        </w:rPr>
        <w:t xml:space="preserve"> </w:t>
      </w:r>
      <w:r>
        <w:rPr>
          <w:rFonts w:hint="eastAsia" w:ascii="宋体" w:hAnsi="宋体" w:eastAsia="宋体" w:cs="宋体"/>
          <w:bCs/>
          <w:color w:val="auto"/>
          <w:sz w:val="24"/>
          <w:szCs w:val="24"/>
          <w:highlight w:val="none"/>
          <w:u w:val="none"/>
        </w:rPr>
        <w:t>）</w:t>
      </w:r>
      <w:r>
        <w:rPr>
          <w:rFonts w:hint="eastAsia" w:ascii="宋体" w:hAnsi="宋体" w:eastAsia="宋体" w:cs="宋体"/>
          <w:bCs/>
          <w:color w:val="auto"/>
          <w:sz w:val="24"/>
          <w:szCs w:val="24"/>
          <w:highlight w:val="none"/>
        </w:rPr>
        <w:t>。</w:t>
      </w:r>
    </w:p>
    <w:p w14:paraId="66140B09">
      <w:pPr>
        <w:autoSpaceDE w:val="0"/>
        <w:autoSpaceDN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w:t>
      </w:r>
      <w:r>
        <w:rPr>
          <w:rFonts w:hint="eastAsia" w:ascii="宋体" w:hAnsi="宋体" w:cs="宋体"/>
          <w:bCs/>
          <w:color w:val="auto"/>
          <w:sz w:val="24"/>
          <w:szCs w:val="24"/>
        </w:rPr>
        <w:t>包括但不限于完成本次招标所要求服务至验收合格的其他一切相关费用。</w:t>
      </w:r>
    </w:p>
    <w:p w14:paraId="0F320986">
      <w:pPr>
        <w:autoSpaceDE w:val="0"/>
        <w:autoSpaceDN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（三）合同总价一次性包死，不受市场价格变化因素的影响。</w:t>
      </w:r>
    </w:p>
    <w:p w14:paraId="6A24EB82">
      <w:pPr>
        <w:autoSpaceDE w:val="0"/>
        <w:autoSpaceDN w:val="0"/>
        <w:adjustRightInd w:val="0"/>
        <w:spacing w:line="360" w:lineRule="auto"/>
        <w:outlineLvl w:val="0"/>
        <w:rPr>
          <w:rFonts w:hint="eastAsia" w:ascii="宋体" w:hAnsi="宋体" w:cs="宋体"/>
        </w:rPr>
      </w:pPr>
      <w:bookmarkStart w:id="4" w:name="_Toc25450"/>
      <w:r>
        <w:rPr>
          <w:rFonts w:hint="eastAsia" w:ascii="宋体" w:hAnsi="宋体" w:eastAsia="宋体" w:cs="宋体"/>
          <w:b/>
          <w:bCs/>
          <w:color w:val="auto"/>
          <w:sz w:val="28"/>
          <w:szCs w:val="28"/>
          <w:highlight w:val="none"/>
        </w:rPr>
        <w:t>二、</w:t>
      </w:r>
      <w:r>
        <w:rPr>
          <w:rFonts w:hint="eastAsia" w:ascii="宋体" w:hAnsi="宋体" w:eastAsia="宋体" w:cs="宋体"/>
          <w:b/>
          <w:bCs/>
          <w:color w:val="auto"/>
          <w:sz w:val="28"/>
          <w:szCs w:val="28"/>
          <w:highlight w:val="none"/>
          <w:lang w:val="en-US" w:eastAsia="zh-CN"/>
        </w:rPr>
        <w:t>服务</w:t>
      </w:r>
      <w:r>
        <w:rPr>
          <w:rFonts w:hint="eastAsia" w:ascii="宋体" w:hAnsi="宋体" w:eastAsia="宋体" w:cs="宋体"/>
          <w:b/>
          <w:bCs/>
          <w:color w:val="auto"/>
          <w:sz w:val="28"/>
          <w:szCs w:val="28"/>
          <w:highlight w:val="none"/>
        </w:rPr>
        <w:t>内容</w:t>
      </w:r>
      <w:bookmarkEnd w:id="4"/>
      <w:r>
        <w:rPr>
          <w:rFonts w:hint="eastAsia" w:ascii="宋体" w:hAnsi="宋体" w:eastAsia="宋体" w:cs="宋体"/>
          <w:b w:val="0"/>
          <w:bCs w:val="0"/>
          <w:color w:val="auto"/>
          <w:sz w:val="24"/>
          <w:szCs w:val="24"/>
          <w:highlight w:val="none"/>
          <w:u w:val="none"/>
        </w:rPr>
        <w:t xml:space="preserve">                                                          </w:t>
      </w:r>
    </w:p>
    <w:p w14:paraId="21A5C100">
      <w:pPr>
        <w:autoSpaceDE w:val="0"/>
        <w:autoSpaceDN w:val="0"/>
        <w:adjustRightInd w:val="0"/>
        <w:spacing w:line="360" w:lineRule="auto"/>
        <w:outlineLvl w:val="1"/>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组织架构</w:t>
      </w:r>
    </w:p>
    <w:p w14:paraId="45946C73">
      <w:pPr>
        <w:spacing w:line="240" w:lineRule="auto"/>
        <w:outlineLvl w:val="2"/>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bidi="ar"/>
        </w:rPr>
        <w:t>1</w:t>
      </w:r>
      <w:r>
        <w:rPr>
          <w:rFonts w:hint="eastAsia" w:ascii="宋体" w:hAnsi="宋体" w:cs="宋体"/>
          <w:b/>
          <w:bCs w:val="0"/>
          <w:sz w:val="24"/>
          <w:szCs w:val="24"/>
          <w:lang w:val="en-US" w:eastAsia="zh-CN" w:bidi="ar"/>
        </w:rPr>
        <w:t>.</w:t>
      </w:r>
      <w:r>
        <w:rPr>
          <w:rFonts w:hint="eastAsia" w:ascii="宋体" w:hAnsi="宋体" w:eastAsia="宋体" w:cs="宋体"/>
          <w:b/>
          <w:bCs w:val="0"/>
          <w:sz w:val="24"/>
          <w:szCs w:val="24"/>
          <w:lang w:bidi="ar"/>
        </w:rPr>
        <w:t>管理架构</w:t>
      </w:r>
      <w:r>
        <w:rPr>
          <w:rFonts w:hint="eastAsia" w:ascii="宋体" w:hAnsi="宋体" w:eastAsia="宋体" w:cs="宋体"/>
          <w:b/>
          <w:bCs w:val="0"/>
          <w:sz w:val="24"/>
          <w:szCs w:val="24"/>
          <w:lang w:val="en-US" w:eastAsia="zh-CN"/>
        </w:rPr>
        <w:t>设计说明</w:t>
      </w:r>
    </w:p>
    <w:p w14:paraId="6FD4BE9A">
      <w:pPr>
        <w:spacing w:line="240" w:lineRule="auto"/>
        <w:rPr>
          <w:rFonts w:hint="eastAsia" w:ascii="宋体" w:hAnsi="宋体" w:eastAsia="宋体" w:cs="宋体"/>
          <w:sz w:val="24"/>
          <w:szCs w:val="24"/>
          <w:lang w:bidi="ar"/>
        </w:rPr>
      </w:pPr>
      <w:r>
        <w:rPr>
          <w:rFonts w:hint="eastAsia" w:ascii="宋体" w:hAnsi="宋体" w:eastAsia="宋体" w:cs="宋体"/>
          <w:sz w:val="24"/>
          <w:szCs w:val="24"/>
          <w:lang w:bidi="ar"/>
        </w:rPr>
        <w:t xml:space="preserve">①设置原则：精干高效、目标管理         </w:t>
      </w:r>
    </w:p>
    <w:p w14:paraId="56C0F1E7">
      <w:pPr>
        <w:spacing w:line="240" w:lineRule="auto"/>
        <w:rPr>
          <w:rFonts w:hint="eastAsia" w:ascii="宋体" w:hAnsi="宋体" w:eastAsia="宋体" w:cs="宋体"/>
          <w:bCs/>
          <w:sz w:val="24"/>
          <w:szCs w:val="24"/>
          <w:lang w:bidi="ar"/>
        </w:rPr>
      </w:pPr>
      <w:r>
        <w:rPr>
          <w:rFonts w:hint="eastAsia" w:ascii="宋体" w:hAnsi="宋体" w:eastAsia="宋体" w:cs="宋体"/>
          <w:sz w:val="24"/>
          <w:szCs w:val="24"/>
          <w:lang w:bidi="ar"/>
        </w:rPr>
        <w:t>②设置形式：垂直领导、整体协调</w:t>
      </w:r>
    </w:p>
    <w:p w14:paraId="77501C2A">
      <w:pPr>
        <w:spacing w:line="240" w:lineRule="auto"/>
        <w:rPr>
          <w:rFonts w:hint="eastAsia" w:ascii="宋体" w:hAnsi="宋体" w:eastAsia="宋体" w:cs="宋体"/>
          <w:bCs/>
          <w:sz w:val="24"/>
          <w:szCs w:val="24"/>
          <w:lang w:bidi="ar"/>
        </w:rPr>
      </w:pPr>
      <w:r>
        <w:rPr>
          <w:rFonts w:hint="eastAsia" w:ascii="宋体" w:hAnsi="宋体" w:eastAsia="宋体" w:cs="宋体"/>
          <w:sz w:val="24"/>
          <w:szCs w:val="24"/>
          <w:lang w:bidi="ar"/>
        </w:rPr>
        <w:t>③</w:t>
      </w:r>
      <w:r>
        <w:rPr>
          <w:rFonts w:hint="eastAsia" w:ascii="宋体" w:hAnsi="宋体" w:eastAsia="宋体" w:cs="宋体"/>
          <w:sz w:val="24"/>
          <w:szCs w:val="24"/>
          <w:lang w:val="en-US" w:eastAsia="zh-CN" w:bidi="ar"/>
        </w:rPr>
        <w:t>设置人员：</w:t>
      </w:r>
      <w:r>
        <w:rPr>
          <w:rFonts w:hint="eastAsia" w:ascii="宋体" w:hAnsi="宋体" w:eastAsia="宋体" w:cs="宋体"/>
          <w:bCs/>
          <w:sz w:val="24"/>
          <w:szCs w:val="24"/>
          <w:lang w:val="en-US" w:eastAsia="zh-CN" w:bidi="ar"/>
        </w:rPr>
        <w:t>按</w:t>
      </w:r>
      <w:r>
        <w:rPr>
          <w:rFonts w:hint="eastAsia" w:ascii="宋体" w:hAnsi="宋体" w:eastAsia="宋体" w:cs="宋体"/>
          <w:bCs/>
          <w:sz w:val="24"/>
          <w:szCs w:val="24"/>
          <w:lang w:bidi="ar"/>
        </w:rPr>
        <w:t>实际需求及服务标准现场配备人员共计</w:t>
      </w:r>
      <w:r>
        <w:rPr>
          <w:rFonts w:hint="eastAsia" w:ascii="宋体" w:hAnsi="宋体" w:eastAsia="宋体" w:cs="宋体"/>
          <w:bCs/>
          <w:sz w:val="24"/>
          <w:szCs w:val="24"/>
          <w:u w:val="single"/>
          <w:lang w:bidi="ar"/>
        </w:rPr>
        <w:t xml:space="preserve"> 1</w:t>
      </w:r>
      <w:r>
        <w:rPr>
          <w:rFonts w:hint="eastAsia" w:ascii="宋体" w:hAnsi="宋体" w:cs="宋体"/>
          <w:bCs/>
          <w:sz w:val="24"/>
          <w:szCs w:val="24"/>
          <w:u w:val="single"/>
          <w:lang w:val="en-US" w:eastAsia="zh-CN" w:bidi="ar"/>
        </w:rPr>
        <w:t>4</w:t>
      </w:r>
      <w:r>
        <w:rPr>
          <w:rFonts w:hint="eastAsia" w:ascii="宋体" w:hAnsi="宋体" w:eastAsia="宋体" w:cs="宋体"/>
          <w:bCs/>
          <w:sz w:val="24"/>
          <w:szCs w:val="24"/>
          <w:u w:val="single"/>
          <w:lang w:bidi="ar"/>
        </w:rPr>
        <w:t xml:space="preserve"> </w:t>
      </w:r>
      <w:r>
        <w:rPr>
          <w:rFonts w:hint="eastAsia" w:ascii="宋体" w:hAnsi="宋体" w:eastAsia="宋体" w:cs="宋体"/>
          <w:bCs/>
          <w:sz w:val="24"/>
          <w:szCs w:val="24"/>
          <w:lang w:bidi="ar"/>
        </w:rPr>
        <w:t>人。</w:t>
      </w:r>
    </w:p>
    <w:p w14:paraId="7C19BBED">
      <w:pPr>
        <w:spacing w:before="156" w:beforeLines="50" w:line="240" w:lineRule="auto"/>
        <w:jc w:val="left"/>
        <w:outlineLvl w:val="2"/>
        <w:rPr>
          <w:rFonts w:hint="eastAsia" w:ascii="宋体" w:hAnsi="宋体" w:eastAsia="宋体" w:cs="宋体"/>
          <w:b/>
          <w:bCs/>
          <w:sz w:val="24"/>
          <w:szCs w:val="24"/>
          <w:lang w:bidi="ar"/>
        </w:rPr>
      </w:pPr>
      <w:r>
        <w:rPr>
          <w:rFonts w:hint="eastAsia" w:ascii="宋体" w:hAnsi="宋体" w:cs="宋体"/>
          <w:b/>
          <w:bCs/>
          <w:sz w:val="24"/>
          <w:szCs w:val="24"/>
          <w:lang w:eastAsia="zh-CN" w:bidi="ar"/>
        </w:rPr>
        <w:t>（</w:t>
      </w:r>
      <w:r>
        <w:rPr>
          <w:rFonts w:hint="eastAsia" w:ascii="宋体" w:hAnsi="宋体" w:cs="宋体"/>
          <w:b/>
          <w:bCs/>
          <w:sz w:val="24"/>
          <w:szCs w:val="24"/>
          <w:lang w:val="en-US" w:eastAsia="zh-CN" w:bidi="ar"/>
        </w:rPr>
        <w:t>二</w:t>
      </w:r>
      <w:r>
        <w:rPr>
          <w:rFonts w:hint="eastAsia" w:ascii="宋体" w:hAnsi="宋体" w:cs="宋体"/>
          <w:b/>
          <w:bCs/>
          <w:sz w:val="24"/>
          <w:szCs w:val="24"/>
          <w:lang w:eastAsia="zh-CN" w:bidi="ar"/>
        </w:rPr>
        <w:t>）</w:t>
      </w:r>
      <w:r>
        <w:rPr>
          <w:rFonts w:hint="eastAsia" w:ascii="宋体" w:hAnsi="宋体" w:eastAsia="宋体" w:cs="宋体"/>
          <w:b/>
          <w:bCs/>
          <w:sz w:val="24"/>
          <w:szCs w:val="24"/>
          <w:lang w:bidi="ar"/>
        </w:rPr>
        <w:t>人员区域配备</w:t>
      </w:r>
    </w:p>
    <w:tbl>
      <w:tblPr>
        <w:tblStyle w:val="13"/>
        <w:tblW w:w="9216" w:type="dxa"/>
        <w:tblInd w:w="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6"/>
        <w:gridCol w:w="888"/>
        <w:gridCol w:w="6702"/>
      </w:tblGrid>
      <w:tr w14:paraId="1F95A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626" w:type="dxa"/>
            <w:vAlign w:val="center"/>
          </w:tcPr>
          <w:p w14:paraId="1E373BC2">
            <w:pPr>
              <w:pStyle w:val="8"/>
              <w:spacing w:line="24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职务</w:t>
            </w:r>
          </w:p>
        </w:tc>
        <w:tc>
          <w:tcPr>
            <w:tcW w:w="888" w:type="dxa"/>
            <w:vAlign w:val="center"/>
          </w:tcPr>
          <w:p w14:paraId="0E23B8F6">
            <w:pPr>
              <w:pStyle w:val="8"/>
              <w:spacing w:line="24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人数</w:t>
            </w:r>
          </w:p>
        </w:tc>
        <w:tc>
          <w:tcPr>
            <w:tcW w:w="6702" w:type="dxa"/>
            <w:vAlign w:val="center"/>
          </w:tcPr>
          <w:p w14:paraId="39E99955">
            <w:pPr>
              <w:pStyle w:val="8"/>
              <w:spacing w:line="24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区域</w:t>
            </w:r>
          </w:p>
        </w:tc>
      </w:tr>
      <w:tr w14:paraId="4817E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626" w:type="dxa"/>
            <w:vAlign w:val="center"/>
          </w:tcPr>
          <w:p w14:paraId="2EA4C3DC">
            <w:pPr>
              <w:spacing w:line="240" w:lineRule="auto"/>
              <w:jc w:val="center"/>
              <w:rPr>
                <w:rFonts w:hint="eastAsia" w:ascii="宋体" w:hAnsi="宋体" w:eastAsia="宋体" w:cs="宋体"/>
                <w:sz w:val="24"/>
                <w:szCs w:val="24"/>
                <w:lang w:eastAsia="zh-CN"/>
              </w:rPr>
            </w:pPr>
            <w:r>
              <w:rPr>
                <w:rFonts w:hint="eastAsia" w:ascii="宋体" w:hAnsi="宋体" w:eastAsia="宋体" w:cs="宋体"/>
                <w:sz w:val="24"/>
                <w:szCs w:val="24"/>
              </w:rPr>
              <w:t>项目</w:t>
            </w:r>
            <w:r>
              <w:rPr>
                <w:rFonts w:hint="eastAsia" w:ascii="宋体" w:hAnsi="宋体" w:cs="宋体"/>
                <w:sz w:val="24"/>
                <w:szCs w:val="24"/>
                <w:lang w:eastAsia="zh-CN"/>
              </w:rPr>
              <w:t>经理</w:t>
            </w:r>
          </w:p>
        </w:tc>
        <w:tc>
          <w:tcPr>
            <w:tcW w:w="888" w:type="dxa"/>
            <w:vAlign w:val="center"/>
          </w:tcPr>
          <w:p w14:paraId="1FE5AADD">
            <w:pPr>
              <w:spacing w:line="24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6702" w:type="dxa"/>
            <w:vAlign w:val="center"/>
          </w:tcPr>
          <w:p w14:paraId="638EEAC6">
            <w:pPr>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负责整体项目的规划、协调和管理；</w:t>
            </w:r>
          </w:p>
        </w:tc>
      </w:tr>
      <w:tr w14:paraId="18E5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626" w:type="dxa"/>
            <w:vAlign w:val="center"/>
          </w:tcPr>
          <w:p w14:paraId="7227A0BE">
            <w:pPr>
              <w:pStyle w:val="8"/>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保安员</w:t>
            </w:r>
          </w:p>
        </w:tc>
        <w:tc>
          <w:tcPr>
            <w:tcW w:w="888" w:type="dxa"/>
            <w:vAlign w:val="center"/>
          </w:tcPr>
          <w:p w14:paraId="594D49A2">
            <w:pPr>
              <w:pStyle w:val="8"/>
              <w:spacing w:line="24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p>
        </w:tc>
        <w:tc>
          <w:tcPr>
            <w:tcW w:w="6702" w:type="dxa"/>
            <w:vAlign w:val="center"/>
          </w:tcPr>
          <w:p w14:paraId="1CDA8D08">
            <w:pPr>
              <w:pStyle w:val="8"/>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负责校园治安秩序及消防安防工作；</w:t>
            </w:r>
          </w:p>
        </w:tc>
      </w:tr>
      <w:tr w14:paraId="44B8B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626" w:type="dxa"/>
            <w:vAlign w:val="center"/>
          </w:tcPr>
          <w:p w14:paraId="796457BF">
            <w:pPr>
              <w:pStyle w:val="8"/>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保洁员</w:t>
            </w:r>
          </w:p>
        </w:tc>
        <w:tc>
          <w:tcPr>
            <w:tcW w:w="888" w:type="dxa"/>
            <w:vAlign w:val="center"/>
          </w:tcPr>
          <w:p w14:paraId="0CADD18B">
            <w:pPr>
              <w:pStyle w:val="8"/>
              <w:spacing w:line="24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p>
        </w:tc>
        <w:tc>
          <w:tcPr>
            <w:tcW w:w="6702" w:type="dxa"/>
            <w:vAlign w:val="center"/>
          </w:tcPr>
          <w:p w14:paraId="193DBAD9">
            <w:pPr>
              <w:pStyle w:val="8"/>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负责校园卫生清洁工作及公共区域消杀；</w:t>
            </w:r>
          </w:p>
        </w:tc>
      </w:tr>
      <w:tr w14:paraId="6713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626" w:type="dxa"/>
            <w:vAlign w:val="center"/>
          </w:tcPr>
          <w:p w14:paraId="2DC06F86">
            <w:pPr>
              <w:pStyle w:val="8"/>
              <w:spacing w:line="24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水电维修人员</w:t>
            </w:r>
          </w:p>
        </w:tc>
        <w:tc>
          <w:tcPr>
            <w:tcW w:w="888" w:type="dxa"/>
            <w:vAlign w:val="center"/>
          </w:tcPr>
          <w:p w14:paraId="570B8A1C">
            <w:pPr>
              <w:pStyle w:val="8"/>
              <w:spacing w:line="240" w:lineRule="auto"/>
              <w:jc w:val="center"/>
              <w:rPr>
                <w:rFonts w:hint="eastAsia" w:ascii="宋体" w:hAnsi="宋体" w:cs="宋体"/>
                <w:color w:val="auto"/>
                <w:sz w:val="24"/>
                <w:szCs w:val="24"/>
                <w:lang w:val="en-US" w:eastAsia="zh-CN"/>
              </w:rPr>
            </w:pPr>
            <w:r>
              <w:rPr>
                <w:rFonts w:hint="eastAsia" w:ascii="方正仿宋_GB18030" w:hAnsi="方正仿宋_GB18030" w:eastAsia="方正仿宋_GB18030" w:cs="方正仿宋_GB18030"/>
                <w:sz w:val="28"/>
                <w:szCs w:val="28"/>
                <w:lang w:val="en-US" w:eastAsia="zh-CN"/>
              </w:rPr>
              <w:t>1</w:t>
            </w:r>
          </w:p>
        </w:tc>
        <w:tc>
          <w:tcPr>
            <w:tcW w:w="6702" w:type="dxa"/>
            <w:vAlign w:val="center"/>
          </w:tcPr>
          <w:p w14:paraId="58FFBC76">
            <w:pPr>
              <w:pStyle w:val="8"/>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负责校园</w:t>
            </w:r>
            <w:r>
              <w:rPr>
                <w:rFonts w:hint="eastAsia" w:ascii="宋体" w:hAnsi="宋体" w:eastAsia="宋体" w:cs="宋体"/>
                <w:color w:val="auto"/>
                <w:sz w:val="24"/>
                <w:szCs w:val="24"/>
                <w:lang w:val="zh-CN" w:eastAsia="zh-CN"/>
              </w:rPr>
              <w:t>水电维修</w:t>
            </w:r>
          </w:p>
        </w:tc>
      </w:tr>
      <w:tr w14:paraId="159A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626" w:type="dxa"/>
            <w:vAlign w:val="center"/>
          </w:tcPr>
          <w:p w14:paraId="22E0637E">
            <w:pPr>
              <w:pStyle w:val="8"/>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lang w:val="en-US" w:eastAsia="zh-CN"/>
              </w:rPr>
              <w:t>合计</w:t>
            </w:r>
          </w:p>
        </w:tc>
        <w:tc>
          <w:tcPr>
            <w:tcW w:w="888" w:type="dxa"/>
            <w:vAlign w:val="center"/>
          </w:tcPr>
          <w:p w14:paraId="544E644A">
            <w:pPr>
              <w:pStyle w:val="8"/>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sz w:val="24"/>
                <w:szCs w:val="24"/>
                <w:lang w:val="en-US" w:eastAsia="zh-CN"/>
              </w:rPr>
              <w:t>14</w:t>
            </w:r>
          </w:p>
        </w:tc>
        <w:tc>
          <w:tcPr>
            <w:tcW w:w="6702" w:type="dxa"/>
            <w:vAlign w:val="center"/>
          </w:tcPr>
          <w:p w14:paraId="19EC24D1">
            <w:pPr>
              <w:pStyle w:val="8"/>
              <w:spacing w:line="240" w:lineRule="auto"/>
              <w:rPr>
                <w:rFonts w:hint="eastAsia" w:ascii="宋体" w:hAnsi="宋体" w:eastAsia="宋体" w:cs="宋体"/>
                <w:color w:val="auto"/>
                <w:sz w:val="24"/>
                <w:szCs w:val="24"/>
                <w:lang w:val="en-US" w:eastAsia="zh-CN"/>
              </w:rPr>
            </w:pPr>
          </w:p>
        </w:tc>
      </w:tr>
    </w:tbl>
    <w:p w14:paraId="6819065D">
      <w:pPr>
        <w:autoSpaceDE w:val="0"/>
        <w:autoSpaceDN w:val="0"/>
        <w:adjustRightInd w:val="0"/>
        <w:spacing w:line="360" w:lineRule="auto"/>
        <w:outlineLvl w:val="1"/>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（三）岗位职责</w:t>
      </w:r>
    </w:p>
    <w:p w14:paraId="5F481874">
      <w:pPr>
        <w:spacing w:line="240" w:lineRule="auto"/>
        <w:outlineLvl w:val="2"/>
        <w:rPr>
          <w:rFonts w:hint="eastAsia" w:ascii="宋体" w:hAnsi="宋体" w:eastAsia="宋体" w:cs="宋体"/>
          <w:sz w:val="24"/>
          <w:szCs w:val="24"/>
          <w:lang w:val="en-US" w:eastAsia="zh-CN"/>
        </w:rPr>
      </w:pPr>
      <w:r>
        <w:rPr>
          <w:rFonts w:hint="eastAsia" w:ascii="宋体" w:hAnsi="宋体" w:cs="宋体"/>
          <w:b/>
          <w:bCs/>
          <w:sz w:val="24"/>
          <w:szCs w:val="24"/>
          <w:lang w:val="en-US" w:eastAsia="zh-CN"/>
        </w:rPr>
        <w:t>1.</w:t>
      </w:r>
      <w:r>
        <w:rPr>
          <w:rFonts w:hint="eastAsia" w:ascii="宋体" w:hAnsi="宋体" w:eastAsia="宋体" w:cs="宋体"/>
          <w:b/>
          <w:bCs/>
          <w:sz w:val="24"/>
          <w:szCs w:val="24"/>
        </w:rPr>
        <w:t>项目</w:t>
      </w:r>
      <w:r>
        <w:rPr>
          <w:rFonts w:hint="eastAsia" w:ascii="宋体" w:hAnsi="宋体" w:cs="宋体"/>
          <w:b/>
          <w:bCs/>
          <w:sz w:val="24"/>
          <w:szCs w:val="24"/>
          <w:lang w:eastAsia="zh-CN"/>
        </w:rPr>
        <w:t>经理</w:t>
      </w:r>
      <w:r>
        <w:rPr>
          <w:rFonts w:hint="eastAsia" w:ascii="宋体" w:hAnsi="宋体" w:eastAsia="宋体" w:cs="宋体"/>
          <w:b/>
          <w:bCs/>
          <w:sz w:val="24"/>
          <w:szCs w:val="24"/>
        </w:rPr>
        <w:t>岗位职责</w:t>
      </w:r>
    </w:p>
    <w:p w14:paraId="65B7FE74">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①综合协调与管理：项目</w:t>
      </w:r>
      <w:r>
        <w:rPr>
          <w:rFonts w:hint="eastAsia" w:ascii="宋体" w:hAnsi="宋体" w:cs="宋体"/>
          <w:sz w:val="24"/>
          <w:szCs w:val="24"/>
          <w:lang w:val="en-US" w:eastAsia="zh-CN"/>
        </w:rPr>
        <w:t>经理</w:t>
      </w:r>
      <w:r>
        <w:rPr>
          <w:rFonts w:hint="eastAsia" w:ascii="宋体" w:hAnsi="宋体" w:eastAsia="宋体" w:cs="宋体"/>
          <w:sz w:val="24"/>
          <w:szCs w:val="24"/>
          <w:lang w:val="en-US" w:eastAsia="zh-CN"/>
        </w:rPr>
        <w:t>需要全面负责项目团队的协调和管理工作，确保各岗位协同高效运作。同时，制定并执行岗位责任制度，确保团队成员明确各自的职责和任务。</w:t>
      </w:r>
    </w:p>
    <w:p w14:paraId="3A7B5746">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w:t>
      </w:r>
      <w:r>
        <w:rPr>
          <w:rFonts w:hint="default" w:ascii="宋体" w:hAnsi="宋体" w:eastAsia="宋体" w:cs="宋体"/>
          <w:sz w:val="24"/>
          <w:szCs w:val="24"/>
          <w:lang w:val="en-US" w:eastAsia="zh-CN"/>
        </w:rPr>
        <w:t>质量控制与监督：项目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需监督和检查承接范围内的工作质量，定期向相关部门报告评定结果。此外，还需指导、监督和检查各岗位的工作内容和完成情况，确保服务标准得到遵守。</w:t>
      </w:r>
    </w:p>
    <w:p w14:paraId="1AF3E29B">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default" w:ascii="宋体" w:hAnsi="宋体" w:eastAsia="宋体" w:cs="宋体"/>
          <w:sz w:val="24"/>
          <w:szCs w:val="24"/>
          <w:lang w:val="en-US" w:eastAsia="zh-CN"/>
        </w:rPr>
        <w:t>规划与执行：项目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需要制定管理服务、保洁、绿化等工作计划，并确保这些计划得到有效实施。</w:t>
      </w:r>
    </w:p>
    <w:p w14:paraId="4273DCE3">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w:t>
      </w:r>
      <w:r>
        <w:rPr>
          <w:rFonts w:hint="default" w:ascii="宋体" w:hAnsi="宋体" w:eastAsia="宋体" w:cs="宋体"/>
          <w:sz w:val="24"/>
          <w:szCs w:val="24"/>
          <w:lang w:val="en-US" w:eastAsia="zh-CN"/>
        </w:rPr>
        <w:t>物资管理：项目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负责记录和管理各岗位相关物资的分发和使用情况。</w:t>
      </w:r>
    </w:p>
    <w:p w14:paraId="2282AE48">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⑤</w:t>
      </w:r>
      <w:r>
        <w:rPr>
          <w:rFonts w:hint="default" w:ascii="宋体" w:hAnsi="宋体" w:eastAsia="宋体" w:cs="宋体"/>
          <w:sz w:val="24"/>
          <w:szCs w:val="24"/>
          <w:lang w:val="en-US" w:eastAsia="zh-CN"/>
        </w:rPr>
        <w:t>投诉处理与沟通：项目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需对后勤管理处提出的投诉进行整改，并与相关部门保持有效沟通。同时，梳理并汇总</w:t>
      </w:r>
      <w:r>
        <w:rPr>
          <w:rFonts w:hint="eastAsia" w:ascii="宋体" w:hAnsi="宋体" w:cs="宋体"/>
          <w:sz w:val="24"/>
          <w:szCs w:val="24"/>
          <w:lang w:val="en-US" w:eastAsia="zh-CN"/>
        </w:rPr>
        <w:t>主管</w:t>
      </w:r>
      <w:r>
        <w:rPr>
          <w:rFonts w:hint="default" w:ascii="宋体" w:hAnsi="宋体" w:eastAsia="宋体" w:cs="宋体"/>
          <w:sz w:val="24"/>
          <w:szCs w:val="24"/>
          <w:lang w:val="en-US" w:eastAsia="zh-CN"/>
        </w:rPr>
        <w:t>部门提出的服务改进建议，组织实施整改措施。</w:t>
      </w:r>
    </w:p>
    <w:p w14:paraId="6AB8FB05">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⑥</w:t>
      </w:r>
      <w:r>
        <w:rPr>
          <w:rFonts w:hint="default" w:ascii="宋体" w:hAnsi="宋体" w:eastAsia="宋体" w:cs="宋体"/>
          <w:sz w:val="24"/>
          <w:szCs w:val="24"/>
          <w:lang w:val="en-US" w:eastAsia="zh-CN"/>
        </w:rPr>
        <w:t>记录与档案管理：项目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要确保所有工作记录的完整性、准确性和有效性，并负责相关文档的归档工作。</w:t>
      </w:r>
    </w:p>
    <w:p w14:paraId="0B3EB202">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⑦</w:t>
      </w:r>
      <w:r>
        <w:rPr>
          <w:rFonts w:hint="default" w:ascii="宋体" w:hAnsi="宋体" w:eastAsia="宋体" w:cs="宋体"/>
          <w:sz w:val="24"/>
          <w:szCs w:val="24"/>
          <w:lang w:val="en-US" w:eastAsia="zh-CN"/>
        </w:rPr>
        <w:t>培训与发展：项目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需组织员工培训，提升团队的文化素养、工作能力和专业技能。</w:t>
      </w:r>
    </w:p>
    <w:p w14:paraId="14543B2D">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⑧</w:t>
      </w:r>
      <w:r>
        <w:rPr>
          <w:rFonts w:hint="default" w:ascii="宋体" w:hAnsi="宋体" w:eastAsia="宋体" w:cs="宋体"/>
          <w:sz w:val="24"/>
          <w:szCs w:val="24"/>
          <w:lang w:val="en-US" w:eastAsia="zh-CN"/>
        </w:rPr>
        <w:t>沟通与协调：作为学校与服务团队之间的桥梁，项目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负责双方的沟通和协调工作，定期组织联络会议。</w:t>
      </w:r>
    </w:p>
    <w:p w14:paraId="1C80B227">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⑨</w:t>
      </w:r>
      <w:r>
        <w:rPr>
          <w:rFonts w:hint="default" w:ascii="宋体" w:hAnsi="宋体" w:eastAsia="宋体" w:cs="宋体"/>
          <w:sz w:val="24"/>
          <w:szCs w:val="24"/>
          <w:lang w:val="en-US" w:eastAsia="zh-CN"/>
        </w:rPr>
        <w:t>日常运营协调：项目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需协调处理日常工作中的问题，协助解决服务过程中出现的任何矛盾或分歧。</w:t>
      </w:r>
    </w:p>
    <w:p w14:paraId="51919941">
      <w:pPr>
        <w:widowControl/>
        <w:spacing w:line="240" w:lineRule="auto"/>
        <w:jc w:val="left"/>
      </w:pPr>
      <w:r>
        <w:rPr>
          <w:rFonts w:hint="eastAsia" w:ascii="宋体" w:hAnsi="宋体" w:eastAsia="宋体" w:cs="宋体"/>
          <w:sz w:val="24"/>
          <w:szCs w:val="24"/>
          <w:lang w:val="en-US" w:eastAsia="zh-CN"/>
        </w:rPr>
        <w:t>⑩</w:t>
      </w:r>
      <w:r>
        <w:rPr>
          <w:rFonts w:hint="default" w:ascii="宋体" w:hAnsi="宋体" w:eastAsia="宋体" w:cs="宋体"/>
          <w:sz w:val="24"/>
          <w:szCs w:val="24"/>
          <w:lang w:val="en-US" w:eastAsia="zh-CN"/>
        </w:rPr>
        <w:t>其他职责：项目</w:t>
      </w:r>
      <w:r>
        <w:rPr>
          <w:rFonts w:hint="eastAsia" w:ascii="宋体" w:hAnsi="宋体" w:cs="宋体"/>
          <w:sz w:val="24"/>
          <w:szCs w:val="24"/>
          <w:lang w:val="en-US" w:eastAsia="zh-CN"/>
        </w:rPr>
        <w:t>经理</w:t>
      </w:r>
      <w:r>
        <w:rPr>
          <w:rFonts w:hint="default" w:ascii="宋体" w:hAnsi="宋体" w:eastAsia="宋体" w:cs="宋体"/>
          <w:sz w:val="24"/>
          <w:szCs w:val="24"/>
          <w:lang w:val="en-US" w:eastAsia="zh-CN"/>
        </w:rPr>
        <w:t>还需执行领导交办的其他任务和职责，确保项目的顺利运行。</w:t>
      </w:r>
    </w:p>
    <w:p w14:paraId="35F624D1">
      <w:pPr>
        <w:spacing w:line="240" w:lineRule="auto"/>
        <w:outlineLvl w:val="2"/>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保洁员岗位职责</w:t>
      </w:r>
    </w:p>
    <w:p w14:paraId="5551E1CF">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①</w:t>
      </w:r>
      <w:r>
        <w:rPr>
          <w:rFonts w:hint="default" w:ascii="宋体" w:hAnsi="宋体" w:eastAsia="宋体" w:cs="宋体"/>
          <w:sz w:val="24"/>
          <w:szCs w:val="24"/>
          <w:lang w:val="en-US" w:eastAsia="zh-CN"/>
        </w:rPr>
        <w:t>日常清洁：负责校园内指定区域的日常清洁工作，包括办公室、会议室、图书馆、游泳馆、篮球馆、卫生间、走廊、楼梯、室外等。</w:t>
      </w:r>
    </w:p>
    <w:p w14:paraId="7E2985E3">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②</w:t>
      </w:r>
      <w:r>
        <w:rPr>
          <w:rFonts w:hint="default" w:ascii="宋体" w:hAnsi="宋体" w:eastAsia="宋体" w:cs="宋体"/>
          <w:sz w:val="24"/>
          <w:szCs w:val="24"/>
          <w:lang w:val="en-US" w:eastAsia="zh-CN"/>
        </w:rPr>
        <w:t>垃圾处理：定时收集校园内的垃圾，进行分类，并负责垃圾的临时存放和定期清运工作。</w:t>
      </w:r>
    </w:p>
    <w:p w14:paraId="4365131F">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default" w:ascii="宋体" w:hAnsi="宋体" w:eastAsia="宋体" w:cs="宋体"/>
          <w:sz w:val="24"/>
          <w:szCs w:val="24"/>
          <w:lang w:val="en-US" w:eastAsia="zh-CN"/>
        </w:rPr>
        <w:t>地面护理：对地板进行扫、拖、擦等工作，确保地面无尘土、无污渍。对地毯进行吸尘处理，必要时进行专业清洗。</w:t>
      </w:r>
    </w:p>
    <w:p w14:paraId="4329C31C">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④</w:t>
      </w:r>
      <w:r>
        <w:rPr>
          <w:rFonts w:hint="default" w:ascii="宋体" w:hAnsi="宋体" w:eastAsia="宋体" w:cs="宋体"/>
          <w:sz w:val="24"/>
          <w:szCs w:val="24"/>
          <w:lang w:val="en-US" w:eastAsia="zh-CN"/>
        </w:rPr>
        <w:t>玻璃和镜面清洁：定期擦拭窗户玻璃、镜子及其他反光面，保持透明度和光洁度。</w:t>
      </w:r>
    </w:p>
    <w:p w14:paraId="4B475B92">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⑤</w:t>
      </w:r>
      <w:r>
        <w:rPr>
          <w:rFonts w:hint="default" w:ascii="宋体" w:hAnsi="宋体" w:eastAsia="宋体" w:cs="宋体"/>
          <w:sz w:val="24"/>
          <w:szCs w:val="24"/>
          <w:lang w:val="en-US" w:eastAsia="zh-CN"/>
        </w:rPr>
        <w:t>卫生设备维护：清洁和维护卫生设备，如马桶、洗手盆、尿斗等，确保其正常运作且卫生。及时报告需要维修或更换的卫生设备。</w:t>
      </w:r>
    </w:p>
    <w:p w14:paraId="355EF890">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⑥</w:t>
      </w:r>
      <w:r>
        <w:rPr>
          <w:rFonts w:hint="default" w:ascii="宋体" w:hAnsi="宋体" w:eastAsia="宋体" w:cs="宋体"/>
          <w:sz w:val="24"/>
          <w:szCs w:val="24"/>
          <w:lang w:val="en-US" w:eastAsia="zh-CN"/>
        </w:rPr>
        <w:t>墙面和天花板清洁：定期清理墙面和天花板上的蜘蛛网、灰尘等。</w:t>
      </w:r>
    </w:p>
    <w:p w14:paraId="24E7863A">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⑦</w:t>
      </w:r>
      <w:r>
        <w:rPr>
          <w:rFonts w:hint="default" w:ascii="宋体" w:hAnsi="宋体" w:eastAsia="宋体" w:cs="宋体"/>
          <w:sz w:val="24"/>
          <w:szCs w:val="24"/>
          <w:lang w:val="en-US" w:eastAsia="zh-CN"/>
        </w:rPr>
        <w:t>家具和设备护理：清洁和保养家具表面，确保无尘污迹。对特殊材质的家具进行适当护理。</w:t>
      </w:r>
    </w:p>
    <w:p w14:paraId="5B985592">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⑧</w:t>
      </w:r>
      <w:r>
        <w:rPr>
          <w:rFonts w:hint="default" w:ascii="宋体" w:hAnsi="宋体" w:eastAsia="宋体" w:cs="宋体"/>
          <w:sz w:val="24"/>
          <w:szCs w:val="24"/>
          <w:lang w:val="en-US" w:eastAsia="zh-CN"/>
        </w:rPr>
        <w:t>应急清洁处理：快速响应并处理意外泼洒、污染等情况。</w:t>
      </w:r>
    </w:p>
    <w:p w14:paraId="01CBC870">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⑨</w:t>
      </w:r>
      <w:r>
        <w:rPr>
          <w:rFonts w:hint="default" w:ascii="宋体" w:hAnsi="宋体" w:eastAsia="宋体" w:cs="宋体"/>
          <w:sz w:val="24"/>
          <w:szCs w:val="24"/>
          <w:lang w:val="en-US" w:eastAsia="zh-CN"/>
        </w:rPr>
        <w:t>工具和化学品管理：正确使用各种清洁工具和化学品，确保工作效率和安全。妥善保管清洁工具和设备，确保其完好无损。</w:t>
      </w:r>
    </w:p>
    <w:p w14:paraId="7DE8AE4A">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⑩</w:t>
      </w:r>
      <w:r>
        <w:rPr>
          <w:rFonts w:hint="default" w:ascii="宋体" w:hAnsi="宋体" w:eastAsia="宋体" w:cs="宋体"/>
          <w:sz w:val="24"/>
          <w:szCs w:val="24"/>
          <w:lang w:val="en-US" w:eastAsia="zh-CN"/>
        </w:rPr>
        <w:t>安全与健康：遵守安全操作规程，使用个人防护装备。关注自身健康，避免接触有害物质。</w:t>
      </w:r>
    </w:p>
    <w:p w14:paraId="647289A3">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⑪</w:t>
      </w:r>
      <w:r>
        <w:rPr>
          <w:rFonts w:hint="default" w:ascii="宋体" w:hAnsi="宋体" w:eastAsia="宋体" w:cs="宋体"/>
          <w:sz w:val="24"/>
          <w:szCs w:val="24"/>
          <w:lang w:val="en-US" w:eastAsia="zh-CN"/>
        </w:rPr>
        <w:t>报告和记录：完成日常工作记录，及时报告工作中的问题和异常情况。</w:t>
      </w:r>
    </w:p>
    <w:p w14:paraId="784A24D1">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⑫</w:t>
      </w:r>
      <w:r>
        <w:rPr>
          <w:rFonts w:hint="default" w:ascii="宋体" w:hAnsi="宋体" w:eastAsia="宋体" w:cs="宋体"/>
          <w:sz w:val="24"/>
          <w:szCs w:val="24"/>
          <w:lang w:val="en-US" w:eastAsia="zh-CN"/>
        </w:rPr>
        <w:t>其他任务：根据需要执行领导安排的其他相关工作。</w:t>
      </w:r>
    </w:p>
    <w:p w14:paraId="3A552D4F">
      <w:pPr>
        <w:pStyle w:val="8"/>
        <w:spacing w:line="240" w:lineRule="auto"/>
        <w:outlineLvl w:val="2"/>
        <w:rPr>
          <w:rFonts w:hint="eastAsia" w:ascii="宋体" w:hAnsi="宋体" w:eastAsia="宋体" w:cs="宋体"/>
          <w:color w:val="000000"/>
          <w:kern w:val="0"/>
          <w:sz w:val="24"/>
          <w:szCs w:val="24"/>
          <w:lang w:bidi="ar"/>
        </w:rPr>
      </w:pPr>
      <w:r>
        <w:rPr>
          <w:rFonts w:hint="eastAsia" w:ascii="宋体" w:hAnsi="宋体" w:cs="宋体"/>
          <w:b/>
          <w:bCs/>
          <w:color w:val="auto"/>
          <w:sz w:val="24"/>
          <w:szCs w:val="24"/>
          <w:lang w:val="en-US" w:eastAsia="zh-CN"/>
        </w:rPr>
        <w:t>3.</w:t>
      </w:r>
      <w:r>
        <w:rPr>
          <w:rFonts w:hint="eastAsia" w:ascii="宋体" w:hAnsi="宋体" w:eastAsia="宋体" w:cs="宋体"/>
          <w:b/>
          <w:bCs/>
          <w:color w:val="auto"/>
          <w:sz w:val="24"/>
          <w:szCs w:val="24"/>
        </w:rPr>
        <w:t>保安岗位职责</w:t>
      </w:r>
    </w:p>
    <w:p w14:paraId="34C76C90">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①定时巡逻：定时在校园内进行巡逻，防止非法侵入和犯罪行为，确保校园的安全。</w:t>
      </w:r>
    </w:p>
    <w:p w14:paraId="04BB76B4">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w:t>
      </w:r>
      <w:r>
        <w:rPr>
          <w:rFonts w:hint="default" w:ascii="宋体" w:hAnsi="宋体" w:eastAsia="宋体" w:cs="宋体"/>
          <w:sz w:val="24"/>
          <w:szCs w:val="24"/>
          <w:lang w:val="en-US" w:eastAsia="zh-CN"/>
        </w:rPr>
        <w:t>门卫管理：负责校门的出入管理，登记来访者信息，检查离开校园的人员和车辆，确保无关人员不得随意进入。</w:t>
      </w:r>
    </w:p>
    <w:p w14:paraId="2C550B70">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default" w:ascii="宋体" w:hAnsi="宋体" w:eastAsia="宋体" w:cs="宋体"/>
          <w:sz w:val="24"/>
          <w:szCs w:val="24"/>
          <w:lang w:val="en-US" w:eastAsia="zh-CN"/>
        </w:rPr>
        <w:t>应急响应：在紧急情况下，如火灾、医疗急救等，迅速响应并采取相应措施，协助疏散人群，维护现场秩序。</w:t>
      </w:r>
    </w:p>
    <w:p w14:paraId="4A81BFEE">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w:t>
      </w:r>
      <w:r>
        <w:rPr>
          <w:rFonts w:hint="default" w:ascii="宋体" w:hAnsi="宋体" w:eastAsia="宋体" w:cs="宋体"/>
          <w:sz w:val="24"/>
          <w:szCs w:val="24"/>
          <w:lang w:val="en-US" w:eastAsia="zh-CN"/>
        </w:rPr>
        <w:t>安全设备操作：熟练操作监控系统、报警系统等安全设备，定期检查和维护安全设备，确保其正常运行。</w:t>
      </w:r>
    </w:p>
    <w:p w14:paraId="6A25CE0D">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⑤</w:t>
      </w:r>
      <w:r>
        <w:rPr>
          <w:rFonts w:hint="default" w:ascii="宋体" w:hAnsi="宋体" w:eastAsia="宋体" w:cs="宋体"/>
          <w:sz w:val="24"/>
          <w:szCs w:val="24"/>
          <w:lang w:val="en-US" w:eastAsia="zh-CN"/>
        </w:rPr>
        <w:t>防火防盗：执行防火、防盗措施，参与消防演习和安全培训，熟悉消防设施的位置和使用方法。</w:t>
      </w:r>
    </w:p>
    <w:p w14:paraId="48422136">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⑥</w:t>
      </w:r>
      <w:r>
        <w:rPr>
          <w:rFonts w:hint="default" w:ascii="宋体" w:hAnsi="宋体" w:eastAsia="宋体" w:cs="宋体"/>
          <w:sz w:val="24"/>
          <w:szCs w:val="24"/>
          <w:lang w:val="en-US" w:eastAsia="zh-CN"/>
        </w:rPr>
        <w:t>交通管理：管理校园内的交通秩序，指导车辆正确停放，确保行人和车辆的安全，预防交通事故。</w:t>
      </w:r>
    </w:p>
    <w:p w14:paraId="2EE948BC">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⑦</w:t>
      </w:r>
      <w:r>
        <w:rPr>
          <w:rFonts w:hint="default" w:ascii="宋体" w:hAnsi="宋体" w:eastAsia="宋体" w:cs="宋体"/>
          <w:sz w:val="24"/>
          <w:szCs w:val="24"/>
          <w:lang w:val="en-US" w:eastAsia="zh-CN"/>
        </w:rPr>
        <w:t>安全教育与宣传：向师生宣传安全知识，提高校园整体的安全意识，参与组织安全教育活动。</w:t>
      </w:r>
    </w:p>
    <w:p w14:paraId="39A80D7A">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⑧</w:t>
      </w:r>
      <w:r>
        <w:rPr>
          <w:rFonts w:hint="default" w:ascii="宋体" w:hAnsi="宋体" w:eastAsia="宋体" w:cs="宋体"/>
          <w:sz w:val="24"/>
          <w:szCs w:val="24"/>
          <w:lang w:val="en-US" w:eastAsia="zh-CN"/>
        </w:rPr>
        <w:t>记录与报告：记录日常工作日志，包括巡逻时间、事件处理等，定期向管理层报告安全状况和特殊事件。</w:t>
      </w:r>
    </w:p>
    <w:p w14:paraId="33A0E548">
      <w:pPr>
        <w:widowControl/>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⑨</w:t>
      </w:r>
      <w:r>
        <w:rPr>
          <w:rFonts w:hint="default" w:ascii="宋体" w:hAnsi="宋体" w:eastAsia="宋体" w:cs="宋体"/>
          <w:sz w:val="24"/>
          <w:szCs w:val="24"/>
          <w:lang w:val="en-US" w:eastAsia="zh-CN"/>
        </w:rPr>
        <w:t>法律法规遵守：遵守国家法律法规和校园安全管理规定，执行校园安全政策和程序。</w:t>
      </w:r>
    </w:p>
    <w:p w14:paraId="32E53D81">
      <w:pPr>
        <w:widowControl/>
        <w:spacing w:line="24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⑩</w:t>
      </w:r>
      <w:r>
        <w:rPr>
          <w:rFonts w:hint="default" w:ascii="宋体" w:hAnsi="宋体" w:eastAsia="宋体" w:cs="宋体"/>
          <w:sz w:val="24"/>
          <w:szCs w:val="24"/>
          <w:lang w:val="en-US" w:eastAsia="zh-CN"/>
        </w:rPr>
        <w:t>其他任务：根据需要执行领导安排的其他相关工作。</w:t>
      </w:r>
    </w:p>
    <w:p w14:paraId="3A91EF99">
      <w:pPr>
        <w:widowControl/>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水电维修工：负责协助项目经理开展各项工作，按照工作计划、工作标准检查监督工程维修人员对设备设施的维修养护；组织维修队对供水、电、消防、供暖系统进行日常养护维修、巡查，协助消防安全用电宣传、检查、维修等工作。</w:t>
      </w:r>
    </w:p>
    <w:p w14:paraId="72269FB6">
      <w:pPr>
        <w:autoSpaceDE w:val="0"/>
        <w:autoSpaceDN w:val="0"/>
        <w:adjustRightInd w:val="0"/>
        <w:spacing w:line="360" w:lineRule="auto"/>
        <w:outlineLvl w:val="1"/>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en-US" w:eastAsia="zh-CN"/>
        </w:rPr>
        <w:t>管理制度</w:t>
      </w:r>
    </w:p>
    <w:p w14:paraId="02FADA07">
      <w:pPr>
        <w:spacing w:line="240" w:lineRule="auto"/>
        <w:outlineLvl w:val="2"/>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1.</w:t>
      </w:r>
      <w:r>
        <w:rPr>
          <w:rFonts w:hint="eastAsia" w:ascii="宋体" w:hAnsi="宋体" w:eastAsia="宋体" w:cs="宋体"/>
          <w:b/>
          <w:bCs/>
          <w:color w:val="auto"/>
          <w:sz w:val="24"/>
          <w:szCs w:val="24"/>
          <w:lang w:val="en-US" w:eastAsia="zh-CN"/>
        </w:rPr>
        <w:t xml:space="preserve">驻场员工纪律： </w:t>
      </w:r>
    </w:p>
    <w:p w14:paraId="272CCA7B">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员工行为准则</w:t>
      </w:r>
    </w:p>
    <w:p w14:paraId="11F94A54">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所有驻场员工必须遵守学校的规章制度，尊重学校文化及教学秩序。</w:t>
      </w:r>
    </w:p>
    <w:p w14:paraId="07083C61">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员工应着装得体，佩戴工作证，保持良好的个人形象和专业态度。</w:t>
      </w:r>
    </w:p>
    <w:p w14:paraId="0AC2A8A6">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严禁任何形式的骚扰、歧视和不文明行为。</w:t>
      </w:r>
    </w:p>
    <w:p w14:paraId="071D1B5E">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保持工作场所的清洁与整洁，不得在非指定区域吸烟、进食或闲聊。</w:t>
      </w:r>
    </w:p>
    <w:p w14:paraId="2ACBD058">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工作时间管理</w:t>
      </w:r>
    </w:p>
    <w:p w14:paraId="251C7FB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员工应遵守规定的工作时间，按时到岗，不得无故迟到、早退、旷工。</w:t>
      </w:r>
    </w:p>
    <w:p w14:paraId="4B189752">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加班工作需事先经过批准，并确保记录加班时数以便于核算。</w:t>
      </w:r>
    </w:p>
    <w:p w14:paraId="784A56F7">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遵守操作规程</w:t>
      </w:r>
    </w:p>
    <w:p w14:paraId="4EE8993F">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员工必须按照既定的操作规程执行工作任务，确保服务质量和安全。</w:t>
      </w:r>
    </w:p>
    <w:p w14:paraId="27D33B43">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对于特殊岗位的员工（如清洁、保安等），要求持有相应的资格证书，并定期参加培训。</w:t>
      </w:r>
    </w:p>
    <w:p w14:paraId="3CDE56E9">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保密与信息安全</w:t>
      </w:r>
    </w:p>
    <w:p w14:paraId="46598DE0">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员工必须保护学校的信息资料，不得泄露给无关人员。</w:t>
      </w:r>
    </w:p>
    <w:p w14:paraId="3E9697E6">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妥善使用和保管所有的工作设备，包括电子设备和文件资料。</w:t>
      </w:r>
    </w:p>
    <w:p w14:paraId="167A6B52">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rPr>
        <w:t>违规处理</w:t>
      </w:r>
    </w:p>
    <w:p w14:paraId="6AA369B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对于违反纪律的员工，将根据情节轻重采取警告、罚款、停职检查或解雇等措施。</w:t>
      </w:r>
    </w:p>
    <w:p w14:paraId="0248BB83">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建立完善的投诉机制，确保师生和学校管理部门可以及时反映员工的问题行为。</w:t>
      </w:r>
    </w:p>
    <w:p w14:paraId="41AD30FC">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（六）</w:t>
      </w:r>
      <w:r>
        <w:rPr>
          <w:rFonts w:hint="eastAsia" w:ascii="宋体" w:hAnsi="宋体" w:eastAsia="宋体" w:cs="宋体"/>
          <w:sz w:val="24"/>
          <w:szCs w:val="24"/>
        </w:rPr>
        <w:t>持续监督与评估</w:t>
      </w:r>
    </w:p>
    <w:p w14:paraId="561729A2">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实施定期和不定期的工作检查，确保员工遵守纪律规定。</w:t>
      </w:r>
    </w:p>
    <w:p w14:paraId="10703654">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通过内部审计、满意度调查等方式，持续评估员工的表现和纪律执行情况。</w:t>
      </w:r>
    </w:p>
    <w:p w14:paraId="746F4195">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（七）</w:t>
      </w:r>
      <w:r>
        <w:rPr>
          <w:rFonts w:hint="eastAsia" w:ascii="宋体" w:hAnsi="宋体" w:eastAsia="宋体" w:cs="宋体"/>
          <w:sz w:val="24"/>
          <w:szCs w:val="24"/>
        </w:rPr>
        <w:t>培训与发展</w:t>
      </w:r>
    </w:p>
    <w:p w14:paraId="65A4CC5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为新入职员工提供全面的岗前培训，包括纪律规定、岗位职责等内容。</w:t>
      </w:r>
    </w:p>
    <w:p w14:paraId="78414D1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定期为员工提供职业道德、服务技能等方面的培训，促进其个人成长和职业发展。</w:t>
      </w:r>
    </w:p>
    <w:p w14:paraId="54AEFA5D">
      <w:pPr>
        <w:spacing w:line="240" w:lineRule="auto"/>
        <w:outlineLvl w:val="2"/>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服务礼仪规范</w:t>
      </w:r>
    </w:p>
    <w:p w14:paraId="337A1768">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基本服务原则</w:t>
      </w:r>
    </w:p>
    <w:p w14:paraId="49478CCF">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以师生为中心，提供热情、周到、专业的服务。</w:t>
      </w:r>
    </w:p>
    <w:p w14:paraId="54D42C41">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尊重每位师生的个性差异，耐心倾听，细致响应其需求。</w:t>
      </w:r>
    </w:p>
    <w:p w14:paraId="3E6D2B3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仪表整洁，举止大方得体，微笑待客，礼貌服务</w:t>
      </w:r>
    </w:p>
    <w:p w14:paraId="10D0EB84">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职业着装与仪表</w:t>
      </w:r>
    </w:p>
    <w:p w14:paraId="11AAD6F5">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员工应着统一的工作服装，保持整洁、符合职业形象。</w:t>
      </w:r>
    </w:p>
    <w:p w14:paraId="540BDF2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个人卫生需符合规定，保持清新的体味，禁止浓妆艳抹。</w:t>
      </w:r>
    </w:p>
    <w:p w14:paraId="79E125B1">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礼貌用语与沟通技巧</w:t>
      </w:r>
    </w:p>
    <w:p w14:paraId="7E44417D">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在任何情况下使用礼貌用语，如“请”、“谢谢”、“您好”等。</w:t>
      </w:r>
    </w:p>
    <w:p w14:paraId="13C2AA08">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保持正面积极的语言表达，避免使用否定或不明确的词汇。</w:t>
      </w:r>
    </w:p>
    <w:p w14:paraId="5ED76D80">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善于倾听，确保理解对方的需求和问题，避免误解。</w:t>
      </w:r>
    </w:p>
    <w:p w14:paraId="455B2711">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 xml:space="preserve"> 服务态度</w:t>
      </w:r>
    </w:p>
    <w:p w14:paraId="6191013E">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展现友好的微笑，传递积极的服务态度。</w:t>
      </w:r>
    </w:p>
    <w:p w14:paraId="5752EACB">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对待师生的任何咨询或请求，都应以认真负责的态度处理。</w:t>
      </w:r>
    </w:p>
    <w:p w14:paraId="4A278A4B">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遇到投诉或建议时，保持冷静，积极寻找解决方案。</w:t>
      </w:r>
    </w:p>
    <w:p w14:paraId="29371D0A">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rPr>
        <w:t>响应时效与效率</w:t>
      </w:r>
    </w:p>
    <w:p w14:paraId="7FE705A8">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对于师生的请求，应在规定时间内给予响应。</w:t>
      </w:r>
    </w:p>
    <w:p w14:paraId="49357E94">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提供服务时，注重效率，减少师生等待时间。</w:t>
      </w:r>
    </w:p>
    <w:p w14:paraId="13EAA24E">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（六）</w:t>
      </w:r>
      <w:r>
        <w:rPr>
          <w:rFonts w:hint="eastAsia" w:ascii="宋体" w:hAnsi="宋体" w:eastAsia="宋体" w:cs="宋体"/>
          <w:sz w:val="24"/>
          <w:szCs w:val="24"/>
        </w:rPr>
        <w:t>特殊场合礼仪</w:t>
      </w:r>
    </w:p>
    <w:p w14:paraId="6B4DFD97">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在学校重要活动或庆典中，员工应了解并遵守相关的礼仪要求。</w:t>
      </w:r>
    </w:p>
    <w:p w14:paraId="79F4834B">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在接待访客或贵宾时，应展现出更高的专业素养和服务水准。</w:t>
      </w:r>
    </w:p>
    <w:p w14:paraId="619057F0">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七</w:t>
      </w:r>
      <w:r>
        <w:rPr>
          <w:rFonts w:hint="eastAsia" w:ascii="宋体" w:hAnsi="宋体" w:eastAsia="宋体" w:cs="宋体"/>
          <w:sz w:val="24"/>
          <w:szCs w:val="24"/>
          <w:lang w:eastAsia="zh-CN"/>
        </w:rPr>
        <w:t>）</w:t>
      </w:r>
      <w:r>
        <w:rPr>
          <w:rFonts w:hint="eastAsia" w:ascii="宋体" w:hAnsi="宋体" w:eastAsia="宋体" w:cs="宋体"/>
          <w:sz w:val="24"/>
          <w:szCs w:val="24"/>
        </w:rPr>
        <w:t>持续培训与提升</w:t>
      </w:r>
    </w:p>
    <w:p w14:paraId="4C5A5204">
      <w:pPr>
        <w:spacing w:line="240" w:lineRule="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rPr>
        <w:t>定期对员工进行服务礼仪培训，提升服务质量。</w:t>
      </w:r>
    </w:p>
    <w:p w14:paraId="7D708DF4">
      <w:pPr>
        <w:spacing w:line="240" w:lineRule="auto"/>
        <w:rPr>
          <w:rFonts w:hint="default" w:ascii="宋体" w:hAnsi="宋体" w:eastAsia="宋体" w:cs="宋体"/>
          <w:sz w:val="24"/>
          <w:szCs w:val="24"/>
          <w:lang w:val="en-US" w:eastAsia="zh-CN"/>
        </w:rPr>
      </w:pPr>
      <w:r>
        <w:rPr>
          <w:rFonts w:hint="eastAsia" w:ascii="宋体" w:hAnsi="宋体" w:cs="宋体"/>
          <w:sz w:val="24"/>
          <w:szCs w:val="24"/>
          <w:lang w:val="en-US" w:eastAsia="zh-CN"/>
        </w:rPr>
        <w:t>2）定期对员工进行业务能力培训和技能培训，并过程性资料。</w:t>
      </w:r>
    </w:p>
    <w:p w14:paraId="17388CFC">
      <w:pPr>
        <w:spacing w:line="240" w:lineRule="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鼓励员工参与服务技能竞赛和评选活动，激发服务热情。</w:t>
      </w:r>
    </w:p>
    <w:p w14:paraId="676CCD89">
      <w:pPr>
        <w:spacing w:line="240" w:lineRule="auto"/>
        <w:outlineLvl w:val="2"/>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3.</w:t>
      </w:r>
      <w:r>
        <w:rPr>
          <w:rFonts w:hint="eastAsia" w:ascii="宋体" w:hAnsi="宋体" w:eastAsia="宋体" w:cs="宋体"/>
          <w:b/>
          <w:bCs/>
          <w:color w:val="auto"/>
          <w:sz w:val="24"/>
          <w:szCs w:val="24"/>
          <w:lang w:val="en-US" w:eastAsia="zh-CN"/>
        </w:rPr>
        <w:t>服务工作的五勤：</w:t>
      </w:r>
    </w:p>
    <w:p w14:paraId="415F64B3">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勤勉</w:t>
      </w:r>
    </w:p>
    <w:p w14:paraId="3CB365C2">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所有物业服务人员必须具备勤勉敬业的工作态度，对待工作积极主动，确保服务的连续性和稳定性。</w:t>
      </w:r>
    </w:p>
    <w:p w14:paraId="7CF8D148">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定期对员工进行职业道德和勤勉精神的教育培训，提升工作积极性。</w:t>
      </w:r>
    </w:p>
    <w:p w14:paraId="779B0E2C">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实施考勤管理制度，监控员工出勤情况，确保足够的工作力量投入。</w:t>
      </w:r>
    </w:p>
    <w:p w14:paraId="37BED92F">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 xml:space="preserve"> 勤查</w:t>
      </w:r>
    </w:p>
    <w:p w14:paraId="06647C30">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建立日常巡查制度，由专人负责检查校园内的公共区域、设施设备等，确保运行良好无安全隐患。</w:t>
      </w:r>
    </w:p>
    <w:p w14:paraId="463D6DC3">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制定详细的巡查清单和记录表格，要求巡查人员按计划执行，并对发现的问题立即采取措施。</w:t>
      </w:r>
    </w:p>
    <w:p w14:paraId="33B95181">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通过摄像头监控系统，加强对校园关键区域的实时监控，及时发现并处理异常情况。</w:t>
      </w:r>
    </w:p>
    <w:p w14:paraId="3E9E4DE7">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勤反馈</w:t>
      </w:r>
    </w:p>
    <w:p w14:paraId="3B74D761">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设立反馈机制，鼓励师生和家长就物业服务提出意见和建议。</w:t>
      </w:r>
    </w:p>
    <w:p w14:paraId="2C10DB03">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对收集到的反馈信息进行分类整理，及时响应并采取改进措施。</w:t>
      </w:r>
    </w:p>
    <w:p w14:paraId="650BB830">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定期发布服务工作反馈报告，公开问题处理进度和效果。</w:t>
      </w:r>
    </w:p>
    <w:p w14:paraId="42CD557F">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勤维护</w:t>
      </w:r>
    </w:p>
    <w:p w14:paraId="07F9CF2B">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制定设施设备维护保养计划，按照预定周期进行常规检查和维护工作。</w:t>
      </w:r>
    </w:p>
    <w:p w14:paraId="050D10FE">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对易损耗物品进行适量备存，确保快速响应维修更换需求。</w:t>
      </w:r>
    </w:p>
    <w:p w14:paraId="5E99AF08">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对维护保养活动进行详细记录，包括维护时间、内容以及负责人等信息。</w:t>
      </w:r>
    </w:p>
    <w:p w14:paraId="6AF39F97">
      <w:pPr>
        <w:spacing w:line="240" w:lineRule="auto"/>
        <w:outlineLvl w:val="2"/>
        <w:rPr>
          <w:rFonts w:hint="eastAsia" w:ascii="宋体" w:hAnsi="宋体" w:eastAsia="宋体" w:cs="宋体"/>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rPr>
        <w:t xml:space="preserve"> 勤沟通</w:t>
      </w:r>
    </w:p>
    <w:p w14:paraId="36C1DED6">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建立多方沟通机制，包括与校方管理层、师生、家长以及服务团队内部的有效沟通。</w:t>
      </w:r>
    </w:p>
    <w:p w14:paraId="11EF33BD">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定期召开协调会议，讨论服务工作进展，解决存在的问题，协调各方面的需求和资源。</w:t>
      </w:r>
    </w:p>
    <w:p w14:paraId="22BA82F7">
      <w:pPr>
        <w:spacing w:line="240" w:lineRule="auto"/>
        <w:rPr>
          <w:rFonts w:hint="eastAsia" w:ascii="宋体" w:hAnsi="宋体" w:eastAsia="宋体" w:cs="宋体"/>
          <w:b w:val="0"/>
          <w:bCs w:val="0"/>
          <w:color w:val="auto"/>
          <w:sz w:val="24"/>
          <w:szCs w:val="24"/>
          <w:highlight w:val="none"/>
          <w:u w:val="none"/>
        </w:rPr>
      </w:pPr>
      <w:r>
        <w:rPr>
          <w:rFonts w:hint="eastAsia" w:ascii="宋体" w:hAnsi="宋体" w:eastAsia="宋体" w:cs="宋体"/>
          <w:sz w:val="24"/>
          <w:szCs w:val="24"/>
          <w:lang w:val="en-US" w:eastAsia="zh-CN"/>
        </w:rPr>
        <w:t>3）</w:t>
      </w:r>
      <w:r>
        <w:rPr>
          <w:rFonts w:hint="eastAsia" w:ascii="宋体" w:hAnsi="宋体" w:eastAsia="宋体" w:cs="宋体"/>
          <w:sz w:val="24"/>
          <w:szCs w:val="24"/>
        </w:rPr>
        <w:t>利用信息化工具，如移动应用或在线平台，提高沟通效率，确保信息的快速流通和共享。</w:t>
      </w:r>
      <w:r>
        <w:rPr>
          <w:rFonts w:hint="eastAsia" w:ascii="宋体" w:hAnsi="宋体" w:eastAsia="宋体" w:cs="宋体"/>
          <w:bCs/>
          <w:color w:val="auto"/>
          <w:sz w:val="24"/>
          <w:szCs w:val="24"/>
          <w:highlight w:val="none"/>
        </w:rPr>
        <w:t xml:space="preserve">                                                                </w:t>
      </w:r>
    </w:p>
    <w:p w14:paraId="2EC4FD07">
      <w:pPr>
        <w:autoSpaceDE w:val="0"/>
        <w:autoSpaceDN w:val="0"/>
        <w:adjustRightInd w:val="0"/>
        <w:spacing w:line="360" w:lineRule="auto"/>
        <w:outlineLvl w:val="0"/>
        <w:rPr>
          <w:rFonts w:hint="eastAsia" w:ascii="宋体" w:hAnsi="宋体" w:eastAsia="宋体" w:cs="宋体"/>
          <w:b/>
          <w:bCs/>
          <w:color w:val="auto"/>
          <w:sz w:val="28"/>
          <w:szCs w:val="28"/>
          <w:highlight w:val="none"/>
        </w:rPr>
      </w:pPr>
      <w:bookmarkStart w:id="5" w:name="_Toc22879"/>
      <w:r>
        <w:rPr>
          <w:rFonts w:hint="eastAsia" w:ascii="宋体" w:hAnsi="宋体" w:eastAsia="宋体" w:cs="宋体"/>
          <w:b/>
          <w:bCs/>
          <w:color w:val="auto"/>
          <w:sz w:val="28"/>
          <w:szCs w:val="28"/>
          <w:highlight w:val="none"/>
        </w:rPr>
        <w:t>三、付款方式</w:t>
      </w:r>
      <w:bookmarkEnd w:id="5"/>
    </w:p>
    <w:p w14:paraId="13E6E0FD">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（一）付款方式</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分一年四个季度支付，每一季度第一个月</w:t>
      </w:r>
      <w:r>
        <w:rPr>
          <w:rFonts w:hint="eastAsia" w:ascii="宋体" w:hAnsi="宋体" w:cs="宋体"/>
          <w:bCs/>
          <w:color w:val="auto"/>
          <w:sz w:val="24"/>
          <w:szCs w:val="24"/>
          <w:highlight w:val="none"/>
          <w:u w:val="single"/>
          <w:lang w:val="en-US" w:eastAsia="zh-CN"/>
        </w:rPr>
        <w:t>10</w:t>
      </w:r>
      <w:r>
        <w:rPr>
          <w:rFonts w:hint="eastAsia" w:ascii="宋体" w:hAnsi="宋体" w:eastAsia="宋体" w:cs="宋体"/>
          <w:bCs/>
          <w:color w:val="auto"/>
          <w:sz w:val="24"/>
          <w:szCs w:val="24"/>
          <w:highlight w:val="none"/>
          <w:u w:val="single"/>
          <w:lang w:val="en-US" w:eastAsia="zh-CN"/>
        </w:rPr>
        <w:t>号之前支付</w:t>
      </w:r>
      <w:r>
        <w:rPr>
          <w:rFonts w:hint="eastAsia" w:ascii="宋体" w:hAnsi="宋体" w:cs="宋体"/>
          <w:bCs/>
          <w:color w:val="auto"/>
          <w:sz w:val="24"/>
          <w:szCs w:val="24"/>
          <w:highlight w:val="none"/>
          <w:u w:val="single"/>
          <w:lang w:val="en-US" w:eastAsia="zh-CN"/>
        </w:rPr>
        <w:t>本</w:t>
      </w:r>
      <w:r>
        <w:rPr>
          <w:rFonts w:hint="eastAsia" w:ascii="宋体" w:hAnsi="宋体" w:eastAsia="宋体" w:cs="宋体"/>
          <w:bCs/>
          <w:color w:val="auto"/>
          <w:sz w:val="24"/>
          <w:szCs w:val="24"/>
          <w:highlight w:val="none"/>
          <w:u w:val="single"/>
          <w:lang w:val="en-US" w:eastAsia="zh-CN"/>
        </w:rPr>
        <w:t>季度费用</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w:t>
      </w:r>
    </w:p>
    <w:p w14:paraId="6E2A3D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（二）支付方式：银行转账。</w:t>
      </w:r>
    </w:p>
    <w:p w14:paraId="18CFCCAA">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（三）结算方式：乙方在接受付款前开具全额发票给甲方。</w:t>
      </w:r>
    </w:p>
    <w:p w14:paraId="1E9E4BB9">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四</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如因甲方开班数增加，导致乙方全年费用增加的，具体增加的费用数额以教体局实际支付给甲方的金额为准，甲方须及时将前述费用支付给乙方。</w:t>
      </w:r>
    </w:p>
    <w:p w14:paraId="1DF8990B">
      <w:pPr>
        <w:autoSpaceDE w:val="0"/>
        <w:autoSpaceDN w:val="0"/>
        <w:adjustRightInd w:val="0"/>
        <w:spacing w:line="360" w:lineRule="auto"/>
        <w:outlineLvl w:val="0"/>
        <w:rPr>
          <w:rFonts w:hint="eastAsia" w:ascii="宋体" w:hAnsi="宋体" w:eastAsia="宋体" w:cs="宋体"/>
          <w:b/>
          <w:bCs/>
          <w:color w:val="auto"/>
          <w:sz w:val="28"/>
          <w:szCs w:val="28"/>
          <w:highlight w:val="none"/>
        </w:rPr>
      </w:pPr>
      <w:bookmarkStart w:id="6" w:name="_Toc13296"/>
      <w:r>
        <w:rPr>
          <w:rFonts w:hint="eastAsia" w:ascii="宋体" w:hAnsi="宋体" w:eastAsia="宋体" w:cs="宋体"/>
          <w:b/>
          <w:bCs/>
          <w:color w:val="auto"/>
          <w:sz w:val="28"/>
          <w:szCs w:val="28"/>
          <w:highlight w:val="none"/>
        </w:rPr>
        <w:t>四、</w:t>
      </w:r>
      <w:r>
        <w:rPr>
          <w:rFonts w:hint="eastAsia" w:ascii="宋体" w:hAnsi="宋体" w:cs="宋体"/>
          <w:b/>
          <w:color w:val="auto"/>
          <w:sz w:val="28"/>
          <w:szCs w:val="22"/>
          <w:highlight w:val="none"/>
        </w:rPr>
        <w:t>履行期限及地点</w:t>
      </w:r>
      <w:bookmarkEnd w:id="6"/>
    </w:p>
    <w:p w14:paraId="55612E06">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eastAsia="宋体" w:cs="宋体"/>
          <w:b w:val="0"/>
          <w:bCs/>
          <w:color w:val="auto"/>
          <w:sz w:val="24"/>
          <w:szCs w:val="24"/>
          <w:highlight w:val="none"/>
        </w:rPr>
        <w:t>（一）</w:t>
      </w:r>
      <w:r>
        <w:rPr>
          <w:rFonts w:hint="eastAsia" w:ascii="宋体" w:hAnsi="宋体" w:cs="宋体"/>
          <w:bCs/>
          <w:color w:val="auto"/>
          <w:sz w:val="24"/>
          <w:highlight w:val="none"/>
        </w:rPr>
        <w:t>服务期：</w:t>
      </w:r>
      <w:r>
        <w:rPr>
          <w:rFonts w:hint="eastAsia" w:ascii="宋体" w:hAnsi="宋体" w:eastAsia="宋体" w:cs="宋体"/>
          <w:sz w:val="24"/>
          <w:szCs w:val="24"/>
        </w:rPr>
        <w:t>自</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w:t>
      </w:r>
    </w:p>
    <w:p w14:paraId="5658E81C">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（二）服务地点：</w:t>
      </w:r>
      <w:r>
        <w:rPr>
          <w:rFonts w:hint="eastAsia" w:ascii="宋体" w:hAnsi="宋体" w:cs="宋体"/>
          <w:bCs/>
          <w:color w:val="auto"/>
          <w:sz w:val="24"/>
          <w:highlight w:val="none"/>
          <w:u w:val="single"/>
        </w:rPr>
        <w:t xml:space="preserve"> </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u w:val="single"/>
          <w:lang w:val="en-US" w:eastAsia="zh-CN"/>
        </w:rPr>
        <w:t>西安高新区第</w:t>
      </w:r>
      <w:r>
        <w:rPr>
          <w:rFonts w:hint="eastAsia" w:ascii="宋体" w:hAnsi="宋体" w:cs="宋体"/>
          <w:bCs/>
          <w:color w:val="auto"/>
          <w:sz w:val="24"/>
          <w:highlight w:val="none"/>
          <w:u w:val="single"/>
          <w:lang w:val="en-US" w:eastAsia="zh-CN"/>
        </w:rPr>
        <w:t>十八小学</w:t>
      </w:r>
      <w:r>
        <w:rPr>
          <w:rFonts w:hint="eastAsia" w:ascii="宋体" w:hAnsi="宋体" w:eastAsia="宋体" w:cs="宋体"/>
          <w:bCs/>
          <w:color w:val="auto"/>
          <w:sz w:val="24"/>
          <w:highlight w:val="none"/>
          <w:u w:val="single"/>
        </w:rPr>
        <w:t xml:space="preserve"> </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w:t>
      </w:r>
    </w:p>
    <w:p w14:paraId="61C3E9C2">
      <w:pPr>
        <w:autoSpaceDE w:val="0"/>
        <w:autoSpaceDN w:val="0"/>
        <w:adjustRightInd w:val="0"/>
        <w:spacing w:line="348" w:lineRule="auto"/>
        <w:rPr>
          <w:rFonts w:hint="eastAsia" w:ascii="宋体" w:hAnsi="宋体" w:cs="宋体"/>
          <w:b/>
          <w:bCs w:val="0"/>
          <w:color w:val="auto"/>
          <w:sz w:val="28"/>
          <w:szCs w:val="28"/>
          <w:highlight w:val="none"/>
          <w:lang w:val="en-US" w:eastAsia="zh-CN"/>
        </w:rPr>
      </w:pPr>
      <w:r>
        <w:rPr>
          <w:rFonts w:hint="eastAsia" w:ascii="宋体" w:hAnsi="宋体" w:cs="宋体"/>
          <w:b/>
          <w:bCs w:val="0"/>
          <w:color w:val="auto"/>
          <w:sz w:val="28"/>
          <w:szCs w:val="28"/>
          <w:highlight w:val="none"/>
          <w:lang w:val="en-US" w:eastAsia="zh-CN"/>
        </w:rPr>
        <w:t>五、甲乙方义务</w:t>
      </w:r>
    </w:p>
    <w:p w14:paraId="458B5264">
      <w:pPr>
        <w:autoSpaceDE w:val="0"/>
        <w:autoSpaceDN w:val="0"/>
        <w:adjustRightInd w:val="0"/>
        <w:spacing w:line="348" w:lineRule="auto"/>
        <w:ind w:firstLine="48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（一）按学校要求定期对办公室、教室进行消毒（耗材、工具费用由甲方负责），按照要求制定灭鼠等病媒生物防治工作处置方案并实施。</w:t>
      </w:r>
    </w:p>
    <w:p w14:paraId="7134A440">
      <w:pPr>
        <w:autoSpaceDE w:val="0"/>
        <w:autoSpaceDN w:val="0"/>
        <w:adjustRightInd w:val="0"/>
        <w:spacing w:line="348" w:lineRule="auto"/>
        <w:ind w:firstLine="48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（二）协助校方完成合同内交办的其它临时性随机工作及其它突发事件的应对处理工作。</w:t>
      </w:r>
    </w:p>
    <w:p w14:paraId="1527981F">
      <w:pPr>
        <w:autoSpaceDE w:val="0"/>
        <w:autoSpaceDN w:val="0"/>
        <w:adjustRightInd w:val="0"/>
        <w:spacing w:line="348" w:lineRule="auto"/>
        <w:ind w:firstLine="48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（三）物业办公保洁保安工作所需消耗品及工具由甲方负责。</w:t>
      </w:r>
    </w:p>
    <w:p w14:paraId="0607D9E4">
      <w:pPr>
        <w:autoSpaceDE w:val="0"/>
        <w:autoSpaceDN w:val="0"/>
        <w:adjustRightInd w:val="0"/>
        <w:spacing w:line="348" w:lineRule="auto"/>
        <w:ind w:firstLine="480"/>
        <w:rPr>
          <w:rFonts w:hint="default"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（四）在服务期内，物业人员的安全责任由乙方负责。</w:t>
      </w:r>
    </w:p>
    <w:p w14:paraId="1C1BD309">
      <w:pPr>
        <w:autoSpaceDE w:val="0"/>
        <w:autoSpaceDN w:val="0"/>
        <w:adjustRightInd w:val="0"/>
        <w:spacing w:line="360" w:lineRule="auto"/>
        <w:outlineLvl w:val="0"/>
        <w:rPr>
          <w:rFonts w:hint="eastAsia" w:ascii="宋体" w:hAnsi="宋体" w:eastAsia="宋体" w:cs="宋体"/>
          <w:b/>
          <w:bCs/>
          <w:color w:val="auto"/>
          <w:sz w:val="28"/>
          <w:szCs w:val="28"/>
          <w:highlight w:val="none"/>
          <w:lang w:val="en-US" w:eastAsia="zh-CN"/>
        </w:rPr>
      </w:pPr>
      <w:bookmarkStart w:id="7" w:name="_Toc18519"/>
      <w:r>
        <w:rPr>
          <w:rFonts w:hint="eastAsia" w:ascii="宋体" w:hAnsi="宋体" w:eastAsia="宋体" w:cs="宋体"/>
          <w:b/>
          <w:bCs/>
          <w:color w:val="auto"/>
          <w:sz w:val="28"/>
          <w:szCs w:val="28"/>
          <w:highlight w:val="none"/>
        </w:rPr>
        <w:t>六、</w:t>
      </w:r>
      <w:r>
        <w:rPr>
          <w:rFonts w:hint="eastAsia" w:ascii="宋体" w:hAnsi="宋体" w:eastAsia="宋体" w:cs="宋体"/>
          <w:b/>
          <w:bCs/>
          <w:color w:val="auto"/>
          <w:sz w:val="28"/>
          <w:szCs w:val="28"/>
          <w:highlight w:val="none"/>
          <w:lang w:val="en-US" w:eastAsia="zh-CN"/>
        </w:rPr>
        <w:t>违约责任</w:t>
      </w:r>
      <w:bookmarkEnd w:id="7"/>
    </w:p>
    <w:p w14:paraId="5E73DB83">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（一）按《</w:t>
      </w:r>
      <w:r>
        <w:rPr>
          <w:rFonts w:hint="eastAsia" w:ascii="宋体" w:hAnsi="宋体" w:eastAsia="宋体" w:cs="宋体"/>
          <w:bCs/>
          <w:color w:val="auto"/>
          <w:sz w:val="24"/>
          <w:szCs w:val="24"/>
          <w:highlight w:val="none"/>
          <w:lang w:val="en-US" w:eastAsia="zh-CN"/>
        </w:rPr>
        <w:t>中华人民共和国民法典</w:t>
      </w:r>
      <w:r>
        <w:rPr>
          <w:rFonts w:hint="eastAsia" w:ascii="宋体" w:hAnsi="宋体" w:eastAsia="宋体" w:cs="宋体"/>
          <w:bCs/>
          <w:color w:val="auto"/>
          <w:sz w:val="24"/>
          <w:szCs w:val="24"/>
          <w:highlight w:val="none"/>
        </w:rPr>
        <w:t>》中的相关条款执行。</w:t>
      </w:r>
    </w:p>
    <w:p w14:paraId="1928D026">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（二）未按合同要求提供</w:t>
      </w:r>
      <w:r>
        <w:rPr>
          <w:rFonts w:hint="eastAsia" w:ascii="宋体" w:hAnsi="宋体" w:eastAsia="宋体" w:cs="宋体"/>
          <w:bCs/>
          <w:color w:val="auto"/>
          <w:sz w:val="24"/>
          <w:szCs w:val="24"/>
          <w:highlight w:val="none"/>
          <w:lang w:eastAsia="zh-CN"/>
        </w:rPr>
        <w:t>货物</w:t>
      </w:r>
      <w:r>
        <w:rPr>
          <w:rFonts w:hint="eastAsia" w:ascii="宋体" w:hAnsi="宋体" w:eastAsia="宋体" w:cs="宋体"/>
          <w:bCs/>
          <w:color w:val="auto"/>
          <w:sz w:val="24"/>
          <w:szCs w:val="24"/>
          <w:highlight w:val="none"/>
        </w:rPr>
        <w:t>或者</w:t>
      </w:r>
      <w:r>
        <w:rPr>
          <w:rFonts w:hint="eastAsia" w:ascii="宋体" w:hAnsi="宋体" w:eastAsia="宋体" w:cs="宋体"/>
          <w:bCs/>
          <w:color w:val="auto"/>
          <w:sz w:val="24"/>
          <w:szCs w:val="24"/>
          <w:highlight w:val="none"/>
          <w:lang w:eastAsia="zh-CN"/>
        </w:rPr>
        <w:t>货物</w:t>
      </w:r>
      <w:r>
        <w:rPr>
          <w:rFonts w:hint="eastAsia" w:ascii="宋体" w:hAnsi="宋体" w:eastAsia="宋体" w:cs="宋体"/>
          <w:bCs/>
          <w:color w:val="auto"/>
          <w:sz w:val="24"/>
          <w:szCs w:val="24"/>
          <w:highlight w:val="none"/>
        </w:rPr>
        <w:t>质量不能满足采购要求，甲方会同监督机构、招标代理机构有权终止合同和对乙方违约行为进行追究，同时按招标投标法的有关规定进行相应的处罚。</w:t>
      </w:r>
    </w:p>
    <w:p w14:paraId="2E90649B">
      <w:pPr>
        <w:autoSpaceDE w:val="0"/>
        <w:autoSpaceDN w:val="0"/>
        <w:adjustRightInd w:val="0"/>
        <w:spacing w:line="360" w:lineRule="auto"/>
        <w:outlineLvl w:val="0"/>
        <w:rPr>
          <w:rFonts w:hint="eastAsia" w:ascii="宋体" w:hAnsi="宋体" w:eastAsia="宋体" w:cs="宋体"/>
          <w:b/>
          <w:bCs/>
          <w:color w:val="auto"/>
          <w:sz w:val="28"/>
          <w:szCs w:val="28"/>
          <w:highlight w:val="none"/>
          <w:lang w:val="en-US" w:eastAsia="zh-CN"/>
        </w:rPr>
      </w:pPr>
      <w:bookmarkStart w:id="8" w:name="_Toc32015"/>
      <w:r>
        <w:rPr>
          <w:rFonts w:hint="eastAsia" w:ascii="宋体" w:hAnsi="宋体" w:eastAsia="宋体" w:cs="宋体"/>
          <w:b/>
          <w:bCs/>
          <w:color w:val="auto"/>
          <w:sz w:val="28"/>
          <w:szCs w:val="28"/>
          <w:highlight w:val="none"/>
          <w:lang w:val="en-US" w:eastAsia="zh-CN"/>
        </w:rPr>
        <w:t>七、合同争议解决的方式</w:t>
      </w:r>
      <w:bookmarkEnd w:id="8"/>
    </w:p>
    <w:p w14:paraId="19210845">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（一）甲乙双方就合同条款的解释或执行以及与项目密切相关的事项发生争议，应在7个工作日内友好协商解决，协商不成，依法向甲方所在地人民法院起诉。</w:t>
      </w:r>
    </w:p>
    <w:p w14:paraId="0131F69A">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（二）因质量问题发生的争议，由国家权威技术单位进行质量鉴定，该鉴定结论是终局的，甲乙双方应当接受。</w:t>
      </w:r>
    </w:p>
    <w:p w14:paraId="516719AC">
      <w:pPr>
        <w:autoSpaceDE w:val="0"/>
        <w:autoSpaceDN w:val="0"/>
        <w:adjustRightInd w:val="0"/>
        <w:spacing w:line="360" w:lineRule="auto"/>
        <w:outlineLvl w:val="0"/>
        <w:rPr>
          <w:rFonts w:hint="eastAsia" w:ascii="宋体" w:hAnsi="宋体" w:eastAsia="宋体" w:cs="宋体"/>
          <w:b/>
          <w:bCs/>
          <w:color w:val="auto"/>
          <w:sz w:val="28"/>
          <w:szCs w:val="28"/>
          <w:highlight w:val="none"/>
          <w:lang w:val="en-US" w:eastAsia="zh-CN"/>
        </w:rPr>
      </w:pPr>
      <w:bookmarkStart w:id="9" w:name="_Toc15295"/>
      <w:r>
        <w:rPr>
          <w:rFonts w:hint="eastAsia" w:ascii="宋体" w:hAnsi="宋体" w:eastAsia="宋体" w:cs="宋体"/>
          <w:b/>
          <w:bCs/>
          <w:color w:val="auto"/>
          <w:sz w:val="28"/>
          <w:szCs w:val="28"/>
          <w:highlight w:val="none"/>
          <w:lang w:val="en-US" w:eastAsia="zh-CN"/>
        </w:rPr>
        <w:t>八、合同生效</w:t>
      </w:r>
      <w:bookmarkEnd w:id="9"/>
    </w:p>
    <w:p w14:paraId="1EA83042">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（一）本合同须经甲、乙双方的法定代表人（授权代理人）在合同书上签字并加盖本单位公章后正式生效。</w:t>
      </w:r>
    </w:p>
    <w:p w14:paraId="411A5BAE">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（二）合同生效后，甲、乙双方须严格执行本合同条款的规定，全面履行合同，违者按《中华人民共和国合同法》的有关规定承担相应责任。</w:t>
      </w:r>
    </w:p>
    <w:p w14:paraId="342AA2EE">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（三）本合同一式</w:t>
      </w:r>
      <w:r>
        <w:rPr>
          <w:rFonts w:hint="eastAsia" w:ascii="宋体" w:hAnsi="宋体"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rPr>
        <w:t>份，甲</w:t>
      </w:r>
      <w:r>
        <w:rPr>
          <w:rFonts w:hint="eastAsia" w:ascii="宋体" w:hAnsi="宋体" w:cs="宋体"/>
          <w:bCs/>
          <w:color w:val="auto"/>
          <w:sz w:val="24"/>
          <w:szCs w:val="24"/>
          <w:highlight w:val="none"/>
          <w:lang w:val="en-US" w:eastAsia="zh-CN"/>
        </w:rPr>
        <w:t>方</w:t>
      </w:r>
      <w:r>
        <w:rPr>
          <w:rFonts w:hint="eastAsia" w:ascii="宋体" w:hAnsi="宋体" w:cs="宋体"/>
          <w:bCs/>
          <w:color w:val="auto"/>
          <w:sz w:val="24"/>
          <w:szCs w:val="24"/>
          <w:highlight w:val="none"/>
          <w:u w:val="single"/>
          <w:lang w:val="en-US" w:eastAsia="zh-CN"/>
        </w:rPr>
        <w:t>6</w:t>
      </w:r>
      <w:r>
        <w:rPr>
          <w:rFonts w:hint="eastAsia" w:ascii="宋体" w:hAnsi="宋体" w:cs="宋体"/>
          <w:bCs/>
          <w:color w:val="auto"/>
          <w:sz w:val="24"/>
          <w:szCs w:val="24"/>
          <w:highlight w:val="none"/>
          <w:lang w:val="en-US" w:eastAsia="zh-CN"/>
        </w:rPr>
        <w:t>份，</w:t>
      </w:r>
      <w:r>
        <w:rPr>
          <w:rFonts w:hint="eastAsia" w:ascii="宋体" w:hAnsi="宋体" w:eastAsia="宋体" w:cs="宋体"/>
          <w:bCs/>
          <w:color w:val="auto"/>
          <w:sz w:val="24"/>
          <w:szCs w:val="24"/>
          <w:highlight w:val="none"/>
        </w:rPr>
        <w:t>乙执</w:t>
      </w:r>
      <w:r>
        <w:rPr>
          <w:rFonts w:hint="eastAsia" w:ascii="宋体" w:hAnsi="宋体"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rPr>
        <w:t>份</w:t>
      </w:r>
      <w:r>
        <w:rPr>
          <w:rFonts w:hint="eastAsia" w:ascii="宋体" w:hAnsi="宋体" w:cs="宋体"/>
          <w:bCs/>
          <w:color w:val="auto"/>
          <w:sz w:val="24"/>
          <w:szCs w:val="24"/>
          <w:highlight w:val="none"/>
          <w:lang w:eastAsia="zh-CN"/>
        </w:rPr>
        <w:t>。</w:t>
      </w:r>
    </w:p>
    <w:p w14:paraId="0E63069F">
      <w:pPr>
        <w:autoSpaceDE w:val="0"/>
        <w:autoSpaceDN w:val="0"/>
        <w:adjustRightInd w:val="0"/>
        <w:spacing w:line="348"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四</w:t>
      </w:r>
      <w:r>
        <w:rPr>
          <w:rFonts w:hint="eastAsia" w:ascii="宋体" w:hAnsi="宋体" w:eastAsia="宋体" w:cs="宋体"/>
          <w:bCs/>
          <w:color w:val="auto"/>
          <w:sz w:val="24"/>
          <w:szCs w:val="24"/>
          <w:highlight w:val="none"/>
        </w:rPr>
        <w:t>）本合同如有未尽事宜，甲、乙双方协商解决。</w:t>
      </w:r>
    </w:p>
    <w:p w14:paraId="1C74F6BD">
      <w:pPr>
        <w:autoSpaceDE w:val="0"/>
        <w:autoSpaceDN w:val="0"/>
        <w:adjustRightInd w:val="0"/>
        <w:spacing w:line="348"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（五）甲乙双方不得擅自变更、中止、终止政府采购合同。</w:t>
      </w:r>
    </w:p>
    <w:tbl>
      <w:tblPr>
        <w:tblStyle w:val="12"/>
        <w:tblpPr w:leftFromText="180" w:rightFromText="180" w:vertAnchor="text" w:horzAnchor="page" w:tblpX="1661" w:tblpY="100"/>
        <w:tblOverlap w:val="never"/>
        <w:tblW w:w="8879" w:type="dxa"/>
        <w:tblInd w:w="0" w:type="dxa"/>
        <w:tblLayout w:type="fixed"/>
        <w:tblCellMar>
          <w:top w:w="0" w:type="dxa"/>
          <w:left w:w="108" w:type="dxa"/>
          <w:bottom w:w="0" w:type="dxa"/>
          <w:right w:w="108" w:type="dxa"/>
        </w:tblCellMar>
      </w:tblPr>
      <w:tblGrid>
        <w:gridCol w:w="4108"/>
        <w:gridCol w:w="4771"/>
      </w:tblGrid>
      <w:tr w14:paraId="725E489E">
        <w:trPr>
          <w:trHeight w:val="712" w:hRule="exact"/>
        </w:trPr>
        <w:tc>
          <w:tcPr>
            <w:tcW w:w="4108" w:type="dxa"/>
            <w:tcBorders>
              <w:top w:val="nil"/>
              <w:left w:val="nil"/>
              <w:bottom w:val="nil"/>
              <w:right w:val="nil"/>
            </w:tcBorders>
            <w:noWrap w:val="0"/>
            <w:vAlign w:val="center"/>
          </w:tcPr>
          <w:p w14:paraId="36181FDC">
            <w:pP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rPr>
              <w:t>甲  方</w:t>
            </w:r>
            <w:r>
              <w:rPr>
                <w:rFonts w:hint="eastAsia" w:ascii="宋体" w:hAnsi="宋体" w:cs="宋体"/>
                <w:bCs/>
                <w:color w:val="auto"/>
                <w:sz w:val="24"/>
                <w:szCs w:val="24"/>
                <w:highlight w:val="none"/>
                <w:lang w:val="en-US" w:eastAsia="zh-CN"/>
              </w:rPr>
              <w:t>:西安高新区第十八小学</w:t>
            </w:r>
          </w:p>
        </w:tc>
        <w:tc>
          <w:tcPr>
            <w:tcW w:w="4771" w:type="dxa"/>
            <w:tcBorders>
              <w:top w:val="nil"/>
              <w:left w:val="nil"/>
              <w:bottom w:val="nil"/>
              <w:right w:val="nil"/>
            </w:tcBorders>
            <w:noWrap w:val="0"/>
            <w:vAlign w:val="center"/>
          </w:tcPr>
          <w:p w14:paraId="02797DAF">
            <w:pP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乙  方</w:t>
            </w:r>
            <w:r>
              <w:rPr>
                <w:rFonts w:hint="eastAsia" w:ascii="宋体" w:hAnsi="宋体" w:cs="宋体"/>
                <w:bCs/>
                <w:color w:val="auto"/>
                <w:sz w:val="24"/>
                <w:szCs w:val="24"/>
                <w:highlight w:val="none"/>
                <w:lang w:eastAsia="zh-CN"/>
              </w:rPr>
              <w:t>：</w:t>
            </w:r>
          </w:p>
        </w:tc>
      </w:tr>
      <w:tr w14:paraId="2004D3F6">
        <w:tblPrEx>
          <w:tblCellMar>
            <w:top w:w="0" w:type="dxa"/>
            <w:left w:w="108" w:type="dxa"/>
            <w:bottom w:w="0" w:type="dxa"/>
            <w:right w:w="108" w:type="dxa"/>
          </w:tblCellMar>
        </w:tblPrEx>
        <w:trPr>
          <w:trHeight w:val="377" w:hRule="exact"/>
        </w:trPr>
        <w:tc>
          <w:tcPr>
            <w:tcW w:w="4108" w:type="dxa"/>
            <w:tcBorders>
              <w:top w:val="nil"/>
              <w:left w:val="nil"/>
              <w:bottom w:val="nil"/>
              <w:right w:val="nil"/>
            </w:tcBorders>
            <w:noWrap w:val="0"/>
            <w:vAlign w:val="center"/>
          </w:tcPr>
          <w:p w14:paraId="2FAB942E">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（盖章）</w:t>
            </w:r>
          </w:p>
        </w:tc>
        <w:tc>
          <w:tcPr>
            <w:tcW w:w="4771" w:type="dxa"/>
            <w:tcBorders>
              <w:top w:val="nil"/>
              <w:left w:val="nil"/>
              <w:bottom w:val="nil"/>
              <w:right w:val="nil"/>
            </w:tcBorders>
            <w:noWrap w:val="0"/>
            <w:vAlign w:val="center"/>
          </w:tcPr>
          <w:p w14:paraId="7CB10BAE">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（盖章）</w:t>
            </w:r>
          </w:p>
        </w:tc>
      </w:tr>
      <w:tr w14:paraId="44E827FB">
        <w:tblPrEx>
          <w:tblCellMar>
            <w:top w:w="0" w:type="dxa"/>
            <w:left w:w="108" w:type="dxa"/>
            <w:bottom w:w="0" w:type="dxa"/>
            <w:right w:w="108" w:type="dxa"/>
          </w:tblCellMar>
        </w:tblPrEx>
        <w:trPr>
          <w:trHeight w:val="768" w:hRule="exact"/>
        </w:trPr>
        <w:tc>
          <w:tcPr>
            <w:tcW w:w="4108" w:type="dxa"/>
            <w:tcBorders>
              <w:top w:val="nil"/>
              <w:left w:val="nil"/>
              <w:bottom w:val="nil"/>
              <w:right w:val="nil"/>
            </w:tcBorders>
            <w:noWrap w:val="0"/>
            <w:vAlign w:val="center"/>
          </w:tcPr>
          <w:p w14:paraId="1CABFA98">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地址： </w:t>
            </w:r>
          </w:p>
        </w:tc>
        <w:tc>
          <w:tcPr>
            <w:tcW w:w="4771" w:type="dxa"/>
            <w:tcBorders>
              <w:top w:val="nil"/>
              <w:left w:val="nil"/>
              <w:bottom w:val="nil"/>
              <w:right w:val="nil"/>
            </w:tcBorders>
            <w:noWrap w:val="0"/>
            <w:vAlign w:val="center"/>
          </w:tcPr>
          <w:p w14:paraId="03ED9F07">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1AD30824">
        <w:tblPrEx>
          <w:tblCellMar>
            <w:top w:w="0" w:type="dxa"/>
            <w:left w:w="108" w:type="dxa"/>
            <w:bottom w:w="0" w:type="dxa"/>
            <w:right w:w="108" w:type="dxa"/>
          </w:tblCellMar>
        </w:tblPrEx>
        <w:trPr>
          <w:trHeight w:val="768" w:hRule="exact"/>
        </w:trPr>
        <w:tc>
          <w:tcPr>
            <w:tcW w:w="4108" w:type="dxa"/>
            <w:tcBorders>
              <w:top w:val="nil"/>
              <w:left w:val="nil"/>
              <w:bottom w:val="nil"/>
              <w:right w:val="nil"/>
            </w:tcBorders>
            <w:noWrap w:val="0"/>
            <w:vAlign w:val="center"/>
          </w:tcPr>
          <w:p w14:paraId="792538DA">
            <w:pP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rPr>
              <w:t>邮编：</w:t>
            </w:r>
          </w:p>
        </w:tc>
        <w:tc>
          <w:tcPr>
            <w:tcW w:w="4771" w:type="dxa"/>
            <w:tcBorders>
              <w:top w:val="nil"/>
              <w:left w:val="nil"/>
              <w:bottom w:val="nil"/>
              <w:right w:val="nil"/>
            </w:tcBorders>
            <w:noWrap w:val="0"/>
            <w:vAlign w:val="center"/>
          </w:tcPr>
          <w:p w14:paraId="4EC71313">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3649BE04">
        <w:tblPrEx>
          <w:tblCellMar>
            <w:top w:w="0" w:type="dxa"/>
            <w:left w:w="108" w:type="dxa"/>
            <w:bottom w:w="0" w:type="dxa"/>
            <w:right w:w="108" w:type="dxa"/>
          </w:tblCellMar>
        </w:tblPrEx>
        <w:trPr>
          <w:trHeight w:val="768" w:hRule="exact"/>
        </w:trPr>
        <w:tc>
          <w:tcPr>
            <w:tcW w:w="4108" w:type="dxa"/>
            <w:tcBorders>
              <w:top w:val="nil"/>
              <w:left w:val="nil"/>
              <w:bottom w:val="nil"/>
              <w:right w:val="nil"/>
            </w:tcBorders>
            <w:noWrap w:val="0"/>
            <w:vAlign w:val="center"/>
          </w:tcPr>
          <w:p w14:paraId="608535FB">
            <w:pP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法定代表人或</w:t>
            </w:r>
            <w:r>
              <w:rPr>
                <w:rFonts w:hint="eastAsia" w:ascii="宋体" w:hAnsi="宋体" w:cs="宋体"/>
                <w:bCs/>
                <w:color w:val="auto"/>
                <w:sz w:val="24"/>
                <w:szCs w:val="24"/>
                <w:highlight w:val="none"/>
              </w:rPr>
              <w:t>授权代表</w:t>
            </w:r>
            <w:r>
              <w:rPr>
                <w:rFonts w:hint="eastAsia" w:ascii="宋体" w:hAnsi="宋体" w:cs="宋体"/>
                <w:bCs/>
                <w:color w:val="auto"/>
                <w:sz w:val="24"/>
                <w:szCs w:val="24"/>
                <w:highlight w:val="none"/>
                <w:lang w:val="en-US" w:eastAsia="zh-CN"/>
              </w:rPr>
              <w:t>人</w:t>
            </w:r>
            <w:r>
              <w:rPr>
                <w:rFonts w:hint="eastAsia" w:ascii="宋体" w:hAnsi="宋体" w:cs="宋体"/>
                <w:bCs/>
                <w:color w:val="auto"/>
                <w:sz w:val="24"/>
                <w:szCs w:val="24"/>
                <w:highlight w:val="none"/>
              </w:rPr>
              <w:t xml:space="preserve">： </w:t>
            </w:r>
          </w:p>
        </w:tc>
        <w:tc>
          <w:tcPr>
            <w:tcW w:w="4771" w:type="dxa"/>
            <w:tcBorders>
              <w:top w:val="nil"/>
              <w:left w:val="nil"/>
              <w:bottom w:val="nil"/>
              <w:right w:val="nil"/>
            </w:tcBorders>
            <w:noWrap w:val="0"/>
            <w:vAlign w:val="center"/>
          </w:tcPr>
          <w:p w14:paraId="768BBAB2">
            <w:pP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法定代表人或</w:t>
            </w:r>
            <w:r>
              <w:rPr>
                <w:rFonts w:hint="eastAsia" w:ascii="宋体" w:hAnsi="宋体" w:cs="宋体"/>
                <w:bCs/>
                <w:color w:val="auto"/>
                <w:sz w:val="24"/>
                <w:szCs w:val="24"/>
                <w:highlight w:val="none"/>
              </w:rPr>
              <w:t>授权代表</w:t>
            </w:r>
            <w:r>
              <w:rPr>
                <w:rFonts w:hint="eastAsia" w:ascii="宋体" w:hAnsi="宋体" w:cs="宋体"/>
                <w:bCs/>
                <w:color w:val="auto"/>
                <w:sz w:val="24"/>
                <w:szCs w:val="24"/>
                <w:highlight w:val="none"/>
                <w:lang w:val="en-US" w:eastAsia="zh-CN"/>
              </w:rPr>
              <w:t>人</w:t>
            </w:r>
            <w:r>
              <w:rPr>
                <w:rFonts w:hint="eastAsia" w:ascii="宋体" w:hAnsi="宋体" w:cs="宋体"/>
                <w:bCs/>
                <w:color w:val="auto"/>
                <w:sz w:val="24"/>
                <w:szCs w:val="24"/>
                <w:highlight w:val="none"/>
                <w:lang w:eastAsia="zh-CN"/>
              </w:rPr>
              <w:t>：</w:t>
            </w:r>
          </w:p>
        </w:tc>
      </w:tr>
      <w:tr w14:paraId="612D544C">
        <w:tblPrEx>
          <w:tblCellMar>
            <w:top w:w="0" w:type="dxa"/>
            <w:left w:w="108" w:type="dxa"/>
            <w:bottom w:w="0" w:type="dxa"/>
            <w:right w:w="108" w:type="dxa"/>
          </w:tblCellMar>
        </w:tblPrEx>
        <w:trPr>
          <w:trHeight w:val="768" w:hRule="exact"/>
        </w:trPr>
        <w:tc>
          <w:tcPr>
            <w:tcW w:w="4108" w:type="dxa"/>
            <w:tcBorders>
              <w:top w:val="nil"/>
              <w:left w:val="nil"/>
              <w:bottom w:val="nil"/>
              <w:right w:val="nil"/>
            </w:tcBorders>
            <w:noWrap w:val="0"/>
            <w:vAlign w:val="center"/>
          </w:tcPr>
          <w:p w14:paraId="09767FDB">
            <w:pP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rPr>
              <w:t>日期：</w:t>
            </w:r>
            <w:r>
              <w:rPr>
                <w:rFonts w:hint="eastAsia" w:ascii="宋体" w:hAnsi="宋体" w:cs="宋体"/>
                <w:bCs/>
                <w:color w:val="auto"/>
                <w:sz w:val="24"/>
                <w:szCs w:val="24"/>
                <w:highlight w:val="none"/>
                <w:lang w:val="en-US" w:eastAsia="zh-CN"/>
              </w:rPr>
              <w:t xml:space="preserve">    年   月    日</w:t>
            </w:r>
          </w:p>
        </w:tc>
        <w:tc>
          <w:tcPr>
            <w:tcW w:w="4771" w:type="dxa"/>
            <w:tcBorders>
              <w:top w:val="nil"/>
              <w:left w:val="nil"/>
              <w:bottom w:val="nil"/>
              <w:right w:val="nil"/>
            </w:tcBorders>
            <w:noWrap w:val="0"/>
            <w:vAlign w:val="center"/>
          </w:tcPr>
          <w:p w14:paraId="557119A1">
            <w:pPr>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 xml:space="preserve">   年   月   日</w:t>
            </w:r>
          </w:p>
        </w:tc>
      </w:tr>
    </w:tbl>
    <w:p w14:paraId="64D72A43"/>
    <w:p w14:paraId="5101D20F"/>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 w:name="方正仿宋_GB18030">
    <w:altName w:val="仿宋"/>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A47F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11EBDE">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211EBDE">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65D710A"/>
    <w:rsid w:val="07BD6940"/>
    <w:rsid w:val="085D4BAC"/>
    <w:rsid w:val="095F0DA2"/>
    <w:rsid w:val="0A821D37"/>
    <w:rsid w:val="0AA11916"/>
    <w:rsid w:val="0AE25FE0"/>
    <w:rsid w:val="0CA36D51"/>
    <w:rsid w:val="0CF06F2A"/>
    <w:rsid w:val="0D3F097E"/>
    <w:rsid w:val="0ED96670"/>
    <w:rsid w:val="10A83678"/>
    <w:rsid w:val="1334436C"/>
    <w:rsid w:val="13AC22F7"/>
    <w:rsid w:val="15660B0B"/>
    <w:rsid w:val="15F405F3"/>
    <w:rsid w:val="165B009E"/>
    <w:rsid w:val="17395E8A"/>
    <w:rsid w:val="17725E86"/>
    <w:rsid w:val="181A0FB5"/>
    <w:rsid w:val="183B1275"/>
    <w:rsid w:val="189D2325"/>
    <w:rsid w:val="196B76D8"/>
    <w:rsid w:val="19F426A2"/>
    <w:rsid w:val="1BE038A2"/>
    <w:rsid w:val="1CF47E98"/>
    <w:rsid w:val="1EA739DC"/>
    <w:rsid w:val="1F9326F5"/>
    <w:rsid w:val="206F1CE7"/>
    <w:rsid w:val="20E725EC"/>
    <w:rsid w:val="222766AD"/>
    <w:rsid w:val="23B24AE2"/>
    <w:rsid w:val="27296F9B"/>
    <w:rsid w:val="288D5494"/>
    <w:rsid w:val="28B80A4E"/>
    <w:rsid w:val="29C236CA"/>
    <w:rsid w:val="2A942E5D"/>
    <w:rsid w:val="2AAD7DB1"/>
    <w:rsid w:val="2CBC3086"/>
    <w:rsid w:val="2E854E37"/>
    <w:rsid w:val="30034DB0"/>
    <w:rsid w:val="309013EB"/>
    <w:rsid w:val="31170871"/>
    <w:rsid w:val="32A17BE9"/>
    <w:rsid w:val="36685822"/>
    <w:rsid w:val="36DD498F"/>
    <w:rsid w:val="377F6B9D"/>
    <w:rsid w:val="39570C14"/>
    <w:rsid w:val="39AF650A"/>
    <w:rsid w:val="3C455BFE"/>
    <w:rsid w:val="3CF51EA4"/>
    <w:rsid w:val="402C19CA"/>
    <w:rsid w:val="42A706A9"/>
    <w:rsid w:val="43BE081F"/>
    <w:rsid w:val="45693446"/>
    <w:rsid w:val="456D16C5"/>
    <w:rsid w:val="457479F1"/>
    <w:rsid w:val="45A11E86"/>
    <w:rsid w:val="48454656"/>
    <w:rsid w:val="492E6C25"/>
    <w:rsid w:val="493B3E99"/>
    <w:rsid w:val="49B70492"/>
    <w:rsid w:val="4A394D65"/>
    <w:rsid w:val="4ACE4646"/>
    <w:rsid w:val="4D5D520F"/>
    <w:rsid w:val="4D82107C"/>
    <w:rsid w:val="4DA46FE1"/>
    <w:rsid w:val="4F7C66F8"/>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49015CE"/>
    <w:rsid w:val="656F7461"/>
    <w:rsid w:val="666A7B3D"/>
    <w:rsid w:val="67141D0B"/>
    <w:rsid w:val="67DB50EE"/>
    <w:rsid w:val="6C3D08A6"/>
    <w:rsid w:val="6D0646EB"/>
    <w:rsid w:val="6D09493F"/>
    <w:rsid w:val="6D6B7393"/>
    <w:rsid w:val="6E8D3A99"/>
    <w:rsid w:val="70A5645C"/>
    <w:rsid w:val="70EA4F71"/>
    <w:rsid w:val="724C3343"/>
    <w:rsid w:val="743E4BA3"/>
    <w:rsid w:val="74565A74"/>
    <w:rsid w:val="763F4005"/>
    <w:rsid w:val="767931BC"/>
    <w:rsid w:val="76B757FE"/>
    <w:rsid w:val="791C7D2E"/>
    <w:rsid w:val="79964022"/>
    <w:rsid w:val="79B06530"/>
    <w:rsid w:val="7A062FDF"/>
    <w:rsid w:val="7D071783"/>
    <w:rsid w:val="7D5A061F"/>
    <w:rsid w:val="7EE10FB9"/>
    <w:rsid w:val="7EE60311"/>
    <w:rsid w:val="7F557C8D"/>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autoRedefine/>
    <w:qFormat/>
    <w:uiPriority w:val="0"/>
    <w:pPr>
      <w:keepNext/>
      <w:ind w:left="360" w:hanging="360"/>
      <w:outlineLvl w:val="0"/>
    </w:pPr>
    <w:rPr>
      <w:rFonts w:ascii="Times New Roman" w:hAnsi="Times New Roman" w:eastAsia="宋体" w:cs="Times New Roman"/>
      <w:b/>
      <w:kern w:val="44"/>
      <w:sz w:val="44"/>
    </w:rPr>
  </w:style>
  <w:style w:type="paragraph" w:styleId="3">
    <w:name w:val="heading 2"/>
    <w:basedOn w:val="1"/>
    <w:next w:val="1"/>
    <w:link w:val="16"/>
    <w:semiHidden/>
    <w:unhideWhenUsed/>
    <w:qFormat/>
    <w:uiPriority w:val="0"/>
    <w:pPr>
      <w:widowControl w:val="0"/>
      <w:spacing w:line="360" w:lineRule="auto"/>
      <w:jc w:val="center"/>
      <w:outlineLvl w:val="1"/>
    </w:pPr>
    <w:rPr>
      <w:rFonts w:ascii="宋体" w:hAnsi="宋体" w:eastAsia="黑体" w:cs="Times New Roman"/>
      <w:b/>
      <w:sz w:val="32"/>
    </w:rPr>
  </w:style>
  <w:style w:type="paragraph" w:styleId="4">
    <w:name w:val="heading 3"/>
    <w:basedOn w:val="1"/>
    <w:next w:val="1"/>
    <w:link w:val="17"/>
    <w:autoRedefine/>
    <w:semiHidden/>
    <w:unhideWhenUsed/>
    <w:qFormat/>
    <w:uiPriority w:val="0"/>
    <w:pPr>
      <w:keepNext/>
      <w:keepLines/>
      <w:spacing w:before="260" w:beforeLines="0" w:beforeAutospacing="0" w:after="260" w:afterLines="0" w:afterAutospacing="0" w:line="240" w:lineRule="auto"/>
      <w:outlineLvl w:val="2"/>
    </w:pPr>
    <w:rPr>
      <w:rFonts w:ascii="Times New Roman" w:hAnsi="Times New Roman" w:eastAsia="黑体" w:cs="Times New Roman"/>
      <w:b/>
      <w:sz w:val="30"/>
    </w:rPr>
  </w:style>
  <w:style w:type="paragraph" w:styleId="5">
    <w:name w:val="heading 4"/>
    <w:basedOn w:val="1"/>
    <w:next w:val="1"/>
    <w:link w:val="18"/>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6">
    <w:name w:val="heading 5"/>
    <w:basedOn w:val="1"/>
    <w:next w:val="1"/>
    <w:link w:val="19"/>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4">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7">
    <w:name w:val="Normal Indent"/>
    <w:basedOn w:val="1"/>
    <w:qFormat/>
    <w:uiPriority w:val="0"/>
    <w:pPr>
      <w:ind w:firstLine="420" w:firstLineChars="200"/>
    </w:pPr>
  </w:style>
  <w:style w:type="paragraph" w:styleId="8">
    <w:name w:val="Body Text"/>
    <w:basedOn w:val="1"/>
    <w:qFormat/>
    <w:uiPriority w:val="99"/>
    <w:pPr>
      <w:jc w:val="left"/>
    </w:pPr>
    <w:rPr>
      <w:kern w:val="0"/>
    </w:rPr>
  </w:style>
  <w:style w:type="paragraph" w:styleId="9">
    <w:name w:val="footer"/>
    <w:basedOn w:val="1"/>
    <w:qFormat/>
    <w:uiPriority w:val="0"/>
    <w:pPr>
      <w:tabs>
        <w:tab w:val="center" w:pos="4153"/>
        <w:tab w:val="right" w:pos="8306"/>
      </w:tabs>
      <w:snapToGrid w:val="0"/>
      <w:jc w:val="left"/>
    </w:pPr>
    <w:rPr>
      <w:sz w:val="18"/>
    </w:rPr>
  </w:style>
  <w:style w:type="paragraph" w:styleId="10">
    <w:name w:val="toc 1"/>
    <w:basedOn w:val="1"/>
    <w:next w:val="1"/>
    <w:qFormat/>
    <w:uiPriority w:val="0"/>
  </w:style>
  <w:style w:type="paragraph" w:styleId="11">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13">
    <w:name w:val="Table Grid"/>
    <w:basedOn w:val="12"/>
    <w:qFormat/>
    <w:uiPriority w:val="0"/>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customStyle="1" w:styleId="15">
    <w:name w:val="标题 1 Char"/>
    <w:link w:val="2"/>
    <w:qFormat/>
    <w:locked/>
    <w:uiPriority w:val="99"/>
    <w:rPr>
      <w:rFonts w:ascii="Times New Roman" w:hAnsi="Times New Roman" w:eastAsia="宋体" w:cs="Times New Roman"/>
      <w:b/>
      <w:snapToGrid w:val="0"/>
      <w:color w:val="000000"/>
      <w:kern w:val="2"/>
      <w:sz w:val="28"/>
      <w:lang w:eastAsia="en-US"/>
    </w:rPr>
  </w:style>
  <w:style w:type="character" w:customStyle="1" w:styleId="16">
    <w:name w:val="标题 2 字符"/>
    <w:link w:val="3"/>
    <w:qFormat/>
    <w:uiPriority w:val="0"/>
    <w:rPr>
      <w:rFonts w:ascii="宋体" w:hAnsi="宋体" w:eastAsia="宋体" w:cs="Times New Roman"/>
      <w:b/>
      <w:bCs/>
      <w:kern w:val="2"/>
      <w:sz w:val="28"/>
      <w:szCs w:val="32"/>
      <w:lang w:val="en-US" w:eastAsia="zh-CN" w:bidi="ar-SA"/>
    </w:rPr>
  </w:style>
  <w:style w:type="character" w:customStyle="1" w:styleId="17">
    <w:name w:val="标题 3 Char"/>
    <w:basedOn w:val="14"/>
    <w:link w:val="4"/>
    <w:qFormat/>
    <w:uiPriority w:val="9"/>
    <w:rPr>
      <w:rFonts w:ascii="Times New Roman" w:hAnsi="Times New Roman" w:eastAsia="华文宋体" w:cs="Times New Roman"/>
      <w:b/>
      <w:bCs/>
      <w:kern w:val="2"/>
      <w:sz w:val="24"/>
      <w:szCs w:val="22"/>
    </w:rPr>
  </w:style>
  <w:style w:type="character" w:customStyle="1" w:styleId="18">
    <w:name w:val="标题 4 Char1"/>
    <w:link w:val="5"/>
    <w:qFormat/>
    <w:uiPriority w:val="0"/>
    <w:rPr>
      <w:rFonts w:ascii="Arial" w:hAnsi="Arial" w:eastAsia="仿宋" w:cs="Times New Roman"/>
      <w:b/>
      <w:bCs/>
      <w:kern w:val="2"/>
      <w:sz w:val="28"/>
      <w:szCs w:val="28"/>
    </w:rPr>
  </w:style>
  <w:style w:type="character" w:customStyle="1" w:styleId="19">
    <w:name w:val="标题 5 Char"/>
    <w:link w:val="6"/>
    <w:semiHidden/>
    <w:qFormat/>
    <w:uiPriority w:val="9"/>
    <w:rPr>
      <w:rFonts w:ascii="Times New Roman" w:hAnsi="Times New Roman" w:eastAsia="华文仿宋"/>
      <w:b/>
      <w:bCs/>
      <w:kern w:val="2"/>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2026-01-04T11:29:41Z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