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版本号：ZYJY-【2025】CS1195.1B120260116001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司法鉴定服务采购项目(二次)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ZYJY-【2025】CS1195.1B1</w:t>
      </w:r>
      <w:r>
        <w:br/>
      </w:r>
      <w:r>
        <w:br/>
      </w:r>
      <w:r>
        <w:br/>
      </w:r>
    </w:p>
    <w:p>
      <w:pPr>
        <w:pStyle w:val="null3"/>
        <w:jc w:val="center"/>
        <w:outlineLvl w:val="2"/>
      </w:pPr>
      <w:r>
        <w:rPr>
          <w:rFonts w:ascii="仿宋_GB2312" w:hAnsi="仿宋_GB2312" w:cs="仿宋_GB2312" w:eastAsia="仿宋_GB2312"/>
          <w:sz w:val="28"/>
          <w:b/>
        </w:rPr>
        <w:t>西安市公安局高新技术产业开发区分局</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司法鉴定服务采购项目(二次)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ZYJY-【2025】CS1195.1B1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司法鉴定服务采购项目(二次)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西安市公安局高新技术产业开发区分局司法鉴定服务采购项目，具体内容详见磋商文件第三章。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w:t>
      </w:r>
    </w:p>
    <w:p>
      <w:pPr>
        <w:pStyle w:val="null3"/>
      </w:pPr>
      <w:r>
        <w:rPr>
          <w:rFonts w:ascii="仿宋_GB2312" w:hAnsi="仿宋_GB2312" w:cs="仿宋_GB2312" w:eastAsia="仿宋_GB2312"/>
        </w:rPr>
        <w:t>3、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采购代理机构于投标截止日当天在网站的查询结果为准（截图留存））；</w:t>
      </w:r>
    </w:p>
    <w:p>
      <w:pPr>
        <w:pStyle w:val="null3"/>
      </w:pPr>
      <w:r>
        <w:rPr>
          <w:rFonts w:ascii="仿宋_GB2312" w:hAnsi="仿宋_GB2312" w:cs="仿宋_GB2312" w:eastAsia="仿宋_GB2312"/>
        </w:rPr>
        <w:t>4、供应商特殊资格：供应商具备司法行政管理部门核发的有效期内《司法鉴定许可证》（范围包含法医病理、法医临床、法医精神病、法医物证、法医毒物）；</w:t>
      </w:r>
    </w:p>
    <w:p>
      <w:pPr>
        <w:pStyle w:val="null3"/>
      </w:pPr>
      <w:r>
        <w:rPr>
          <w:rFonts w:ascii="仿宋_GB2312" w:hAnsi="仿宋_GB2312" w:cs="仿宋_GB2312" w:eastAsia="仿宋_GB2312"/>
        </w:rPr>
        <w:t>5、非联合体投标：本项目不接受联合体投标。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西安市高新区科技二路72号兰基中心10楼1003室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发展改革委关于进一步放开建设项目专业服务价格的通知》（发改价格（2015）299号）文件的要求，结合市场实际情况，以预算金额为基准，由中标（成交）供应商向陕西知源集易招标代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西安市公安局高新技术产业开发区分局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地址：西安市高新区科技二路72号兰基中心10楼1003室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西安市公安局高新技术产业开发区分局司法鉴定服务采购项目，具体内容详见磋商文件第三章。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司法鉴定服务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标的名称：司法鉴定服务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FF"/>
              </w:rPr>
              <w:t>一、服务内容</w:t>
            </w:r>
          </w:p>
          <w:p>
            <w:pPr>
              <w:pStyle w:val="null3"/>
            </w:pPr>
            <w:r>
              <w:rPr>
                <w:rFonts w:ascii="仿宋_GB2312" w:hAnsi="仿宋_GB2312" w:cs="仿宋_GB2312" w:eastAsia="仿宋_GB2312"/>
                <w:sz w:val="20"/>
                <w:color w:val="0000FF"/>
              </w:rPr>
              <w:t>根据我局实际情况，选聘符合资质的司法鉴定机构对案件办理过程中存在的专门性问题进行检验、鉴别和评定，出具《司法鉴定意见书》，为案件办理提供相关依据。</w:t>
            </w:r>
          </w:p>
          <w:p>
            <w:pPr>
              <w:pStyle w:val="null3"/>
            </w:pPr>
            <w:r>
              <w:rPr>
                <w:rFonts w:ascii="仿宋_GB2312" w:hAnsi="仿宋_GB2312" w:cs="仿宋_GB2312" w:eastAsia="仿宋_GB2312"/>
                <w:sz w:val="20"/>
                <w:b/>
                <w:color w:val="0000FF"/>
              </w:rPr>
              <w:t>二、服务范围</w:t>
            </w:r>
          </w:p>
          <w:p>
            <w:pPr>
              <w:pStyle w:val="null3"/>
            </w:pPr>
            <w:r>
              <w:rPr>
                <w:rFonts w:ascii="仿宋_GB2312" w:hAnsi="仿宋_GB2312" w:cs="仿宋_GB2312" w:eastAsia="仿宋_GB2312"/>
                <w:sz w:val="20"/>
                <w:color w:val="0000FF"/>
              </w:rPr>
              <w:t>鉴定业务范围包括</w:t>
            </w:r>
            <w:r>
              <w:rPr>
                <w:rFonts w:ascii="仿宋_GB2312" w:hAnsi="仿宋_GB2312" w:cs="仿宋_GB2312" w:eastAsia="仿宋_GB2312"/>
                <w:sz w:val="20"/>
                <w:color w:val="0000FF"/>
              </w:rPr>
              <w:t>:</w:t>
            </w:r>
          </w:p>
          <w:p>
            <w:pPr>
              <w:pStyle w:val="null3"/>
            </w:pPr>
            <w:r>
              <w:rPr>
                <w:rFonts w:ascii="仿宋_GB2312" w:hAnsi="仿宋_GB2312" w:cs="仿宋_GB2312" w:eastAsia="仿宋_GB2312"/>
                <w:sz w:val="20"/>
                <w:color w:val="0000FF"/>
              </w:rPr>
              <w:t>1.法医病理鉴定</w:t>
            </w:r>
          </w:p>
          <w:p>
            <w:pPr>
              <w:pStyle w:val="null3"/>
            </w:pPr>
            <w:r>
              <w:rPr>
                <w:rFonts w:ascii="仿宋_GB2312" w:hAnsi="仿宋_GB2312" w:cs="仿宋_GB2312" w:eastAsia="仿宋_GB2312"/>
                <w:sz w:val="20"/>
                <w:color w:val="0000FF"/>
              </w:rPr>
              <w:t>2.法医临床鉴定</w:t>
            </w:r>
          </w:p>
          <w:p>
            <w:pPr>
              <w:pStyle w:val="null3"/>
            </w:pPr>
            <w:r>
              <w:rPr>
                <w:rFonts w:ascii="仿宋_GB2312" w:hAnsi="仿宋_GB2312" w:cs="仿宋_GB2312" w:eastAsia="仿宋_GB2312"/>
                <w:sz w:val="20"/>
                <w:color w:val="0000FF"/>
              </w:rPr>
              <w:t>3.法医精神病鉴定</w:t>
            </w:r>
          </w:p>
          <w:p>
            <w:pPr>
              <w:pStyle w:val="null3"/>
            </w:pPr>
            <w:r>
              <w:rPr>
                <w:rFonts w:ascii="仿宋_GB2312" w:hAnsi="仿宋_GB2312" w:cs="仿宋_GB2312" w:eastAsia="仿宋_GB2312"/>
                <w:sz w:val="20"/>
                <w:color w:val="0000FF"/>
              </w:rPr>
              <w:t>4.法医物证鉴定</w:t>
            </w:r>
          </w:p>
          <w:p>
            <w:pPr>
              <w:pStyle w:val="null3"/>
            </w:pPr>
            <w:r>
              <w:rPr>
                <w:rFonts w:ascii="仿宋_GB2312" w:hAnsi="仿宋_GB2312" w:cs="仿宋_GB2312" w:eastAsia="仿宋_GB2312"/>
                <w:sz w:val="20"/>
                <w:color w:val="0000FF"/>
              </w:rPr>
              <w:t>5.法医毒物鉴定</w:t>
            </w:r>
          </w:p>
          <w:p>
            <w:pPr>
              <w:pStyle w:val="null3"/>
            </w:pPr>
            <w:r>
              <w:rPr>
                <w:rFonts w:ascii="仿宋_GB2312" w:hAnsi="仿宋_GB2312" w:cs="仿宋_GB2312" w:eastAsia="仿宋_GB2312"/>
                <w:sz w:val="20"/>
                <w:color w:val="0000FF"/>
              </w:rPr>
              <w:t>备注：因采购人工作特殊性，除以上业务范围外，后期工作中如出现其他业务范围，需全力配合采购人完成。</w:t>
            </w:r>
          </w:p>
          <w:p>
            <w:pPr>
              <w:pStyle w:val="null3"/>
            </w:pPr>
            <w:r>
              <w:rPr>
                <w:rFonts w:ascii="仿宋_GB2312" w:hAnsi="仿宋_GB2312" w:cs="仿宋_GB2312" w:eastAsia="仿宋_GB2312"/>
                <w:sz w:val="20"/>
                <w:b/>
                <w:color w:val="0000FF"/>
              </w:rPr>
              <w:t>三、商务要求</w:t>
            </w:r>
          </w:p>
          <w:p>
            <w:pPr>
              <w:pStyle w:val="null3"/>
            </w:pPr>
            <w:r>
              <w:rPr>
                <w:rFonts w:ascii="仿宋_GB2312" w:hAnsi="仿宋_GB2312" w:cs="仿宋_GB2312" w:eastAsia="仿宋_GB2312"/>
                <w:sz w:val="20"/>
                <w:color w:val="0000FF"/>
              </w:rPr>
              <w:t>1.服务期限：自合同签订之日起1年。（具体以双方签订合同时约定的起止日期为准）</w:t>
            </w:r>
          </w:p>
          <w:p>
            <w:pPr>
              <w:pStyle w:val="null3"/>
            </w:pPr>
            <w:r>
              <w:rPr>
                <w:rFonts w:ascii="仿宋_GB2312" w:hAnsi="仿宋_GB2312" w:cs="仿宋_GB2312" w:eastAsia="仿宋_GB2312"/>
                <w:sz w:val="20"/>
                <w:color w:val="0000FF"/>
              </w:rPr>
              <w:t>2.本项目报价为折扣、最终结算根据供应商所报折扣据实结算。（供应商报价为含税价，供应商提供服务所发生的一切费用(包括增值税等相关税费)等都已包含于报价中）</w:t>
            </w:r>
          </w:p>
          <w:p>
            <w:pPr>
              <w:pStyle w:val="null3"/>
            </w:pPr>
            <w:r>
              <w:rPr>
                <w:rFonts w:ascii="仿宋_GB2312" w:hAnsi="仿宋_GB2312" w:cs="仿宋_GB2312" w:eastAsia="仿宋_GB2312"/>
                <w:sz w:val="20"/>
                <w:b/>
                <w:color w:val="0000FF"/>
              </w:rPr>
              <w:t>备注：服务期限内支付金额不超过采购预算。</w:t>
            </w:r>
          </w:p>
          <w:p>
            <w:pPr>
              <w:pStyle w:val="null3"/>
            </w:pPr>
            <w:r>
              <w:rPr>
                <w:rFonts w:ascii="仿宋_GB2312" w:hAnsi="仿宋_GB2312" w:cs="仿宋_GB2312" w:eastAsia="仿宋_GB2312"/>
                <w:sz w:val="20"/>
                <w:color w:val="0000FF"/>
              </w:rPr>
              <w:t>3.收费基准</w:t>
            </w:r>
          </w:p>
          <w:p>
            <w:pPr>
              <w:pStyle w:val="null3"/>
            </w:pPr>
            <w:r>
              <w:rPr>
                <w:rFonts w:ascii="仿宋_GB2312" w:hAnsi="仿宋_GB2312" w:cs="仿宋_GB2312" w:eastAsia="仿宋_GB2312"/>
                <w:sz w:val="20"/>
                <w:color w:val="0000FF"/>
              </w:rPr>
              <w:t>收费基准：依据《陕西省实行政府指导价的司法鉴定收费项目和收费标准表》为基准价根据供应商所报折扣据实结算。</w:t>
            </w:r>
          </w:p>
          <w:p>
            <w:pPr>
              <w:pStyle w:val="null3"/>
            </w:pPr>
            <w:r>
              <w:rPr>
                <w:rFonts w:ascii="仿宋_GB2312" w:hAnsi="仿宋_GB2312" w:cs="仿宋_GB2312" w:eastAsia="仿宋_GB2312"/>
                <w:sz w:val="20"/>
                <w:color w:val="0000FF"/>
              </w:rPr>
              <w:t>注：以上执行标准如有最新标准，按最新标准执行。</w:t>
            </w:r>
          </w:p>
          <w:p>
            <w:pPr>
              <w:pStyle w:val="null3"/>
              <w:jc w:val="both"/>
            </w:pPr>
            <w:r>
              <w:rPr>
                <w:rFonts w:ascii="仿宋_GB2312" w:hAnsi="仿宋_GB2312" w:cs="仿宋_GB2312" w:eastAsia="仿宋_GB2312"/>
                <w:sz w:val="20"/>
                <w:color w:val="0000FF"/>
              </w:rPr>
              <w:t>4.如采购人有加急事宜，供应商应配合处理且不额外收取费用。</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自合同签订之日起1年。（具体以双方签订合同时约定的起止日期为准）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本项目按照供应商折扣价依据《陕西省实行政府指导价的司法鉴定收费项目和收费标准表》为基准价，据实结算，收到供应商开具的发票后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1、违约责任按《中华人民共和国民法典》处理中的相关条款执行。 2、乙方履约延误 2-1、乙方必须严格按照服务期要求执行，超期甲方不予支付合同款，同时保留追究相关责任的权利。 2-2、违约终止合同：未按合同要求提供服务，甲方会同监督机构有权终止合同，对乙方违约行为进行追究，同时按政府采购法的有关规定进行相应的处罚。 争议解决的方法 本合同在履行过程中发生的争议，由甲、乙双方当事人协商解决，协商不成的依法向甲方所在地人民法院起诉。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版文件要求:成交供应商在领取成交通知书前，须向采购代理机构提供纸质版投标文件正本壹份，副本叁份，且提供的投标文件必须与在陕西省政府采购综合管理平台的项目电子化交易系统中递交的电子投标文件内容一致，纸质版投标文件必须装订成册签字盖章，并在书脊处标注项目名称和项目编号。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2024年度完整版的财务审计报告，成立时间至提交投标文件截止时间不足一年的可提供成立后任意时段的资产负债表；或投标时间前六个月内基本账户银行出具的资信证明或提供《基本资格条件承诺函》；2.税收缴纳证明：提供投标截止之日前六个月内任意一个月的的缴纳凭据（任意税种，依法免税的单位应提供相关证明材料）或提供《基本资格条件承诺函》；3.社会保障资金缴纳证明：提供投标截止之日前六个月内任意一个月的社会保障资金缴存单据或社保机构开具的社会保险参保缴费情况证明（依法不需要缴纳社会保障资金的供应商应提供相关证明）或提供《基本资格条件承诺函》；4.提供具有履行本合同所必需的设备和专业技术能力的承诺函（加盖供应商公章）或提供《基本资格条件承诺函》； 5.提供参加政府采购活动前三年内在经营活动中没有重大违法记录的书面声明（加盖供应商公章）或提供《基本资格条件承诺函》。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提供2024年度完整版的财务审计报告，成立时间至提交投标文件截止时间不足一年的可提供成立后任意时段的资产负债表；或投标时间前六个月内基本账户银行出具的资信证明或提供《基本资格条件承诺函》。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采购代理机构于投标截止日当天在网站的查询结果为准（截图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供应商特殊资格</w:t>
            </w:r>
          </w:p>
        </w:tc>
        <w:tc>
          <w:tcPr>
            <w:tcW w:type="dxa" w:w="3322"/>
          </w:tcPr>
          <w:p>
            <w:pPr>
              <w:pStyle w:val="null3"/>
            </w:pPr>
            <w:r>
              <w:rPr>
                <w:rFonts w:ascii="仿宋_GB2312" w:hAnsi="仿宋_GB2312" w:cs="仿宋_GB2312" w:eastAsia="仿宋_GB2312"/>
              </w:rPr>
              <w:t>供应商具备司法行政管理部门核发的有效期内《司法鉴定许可证》（范围包含法医病理、法医临床、法医精神病、法医物证、法医毒物）；</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业绩一览表.docx 中小企业声明函 报价表 商务条款响应偏离表.docx 磋商响应实施方案.docx 响应文件封面 供应商应提交的相关资格证明材料.docx 残疾人福利性单位声明函 供应商认为有必要说明的其他问题.docx 标的清单 服务要求偏离表.docx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1、报价唯一；2、投标报价符合磋商文件要求。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商务要求是否满足实质性要求的（服务要求、付款方式等满足采购要求）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法律、法规和磋商文件规定的其他无效情形。</w:t>
            </w:r>
          </w:p>
        </w:tc>
        <w:tc>
          <w:tcPr>
            <w:tcW w:type="dxa" w:w="1661"/>
          </w:tcPr>
          <w:p>
            <w:pPr>
              <w:pStyle w:val="null3"/>
            </w:pPr>
            <w:r>
              <w:rPr>
                <w:rFonts w:ascii="仿宋_GB2312" w:hAnsi="仿宋_GB2312" w:cs="仿宋_GB2312" w:eastAsia="仿宋_GB2312"/>
              </w:rPr>
              <w:t>业绩一览表.docx 供应商应提交的相关资格证明材料.docx 中小企业声明函 供应商认为有必要说明的其他问题.docx 标的清单 服务要求偏离表.docx 报价表 商务条款响应偏离表.docx 响应函 磋商响应实施方案.docx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针对采购需求提供实施方案，包括但不限于：①整体思路及目标②鉴定依据③鉴定方法、标准、原则④鉴定程序⑤场地、设备配备方案⑥出具鉴定文书的时间安排⑦检材样本处理方案⑧档案管理等方案等 二、评审标准 1、完整性：方案须全面，对评审内容中的各项要求有详细描述及说明； 2、可实施性：切合本项目实际情况，实施步骤清晰、合理； 3、针对性：方案能够紧扣项目实际情况，内容科学合理。 三、赋分标准（满分24分） ①整体思路及目标：每完全满足一个评审标准得1分，满分3分； ②鉴定依据:每完全满足一个评审标准得1分，满分3分； ③鉴定方法、标准、原则:每完全满足一个评审标准得1分，满分3分； ④鉴定程序:每完全满足一个评审标准得1分，满分3分； ⑤场地、设备配备方案:每完全满足一个评审标准得1分，满分3分； ⑥出具鉴定文书的时间安排：每完全满足一个评审标准得1分，满分3分； ⑦检材样本处理方案：每完全满足一个评审标准得1分，满分3分； ⑧档案管理等方案：每完全满足一个评审标准得1分，满分3分；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针对采购需求提供保障措施，包括但不限于：①质量保障措施②进度保障措施③风险控制措施④应急保障措施等 二、评审标准 1、完整性：方案须全面，对评审内容中的各项要求有详细描述及说明； 2、可实施性：切合本项目实际情况，实施步骤清晰、合理； 3、针对性：方案能够紧扣项目实际情况，内容科学合理。 三、赋分标准（满分12分） ①质量保障措施：每完全满足一个评审标准得1分，满分3分； ②进度保障措施:每完全满足一个评审标准得1分，满分3分； ③风险控制措施:每完全满足一个评审标准得1分，满分3分； ④应急保障措施:每完全满足一个评审标准得1分，满分3分；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针对采购需求提供保密措施，包括但不限于：①保密工作制度②保密措施③保密承诺书等 二、评审标准 1、完整性：方案须全面，对评审内容中的各项要求有详细描述及说明； 2、可实施性：切合本项目实际情况，实施步骤清晰、合理； 3、针对性：方案能够紧扣项目实际情况，内容科学合理。 三、赋分标准（满分9分） ①保密工作制度：每完全满足一个评审标准得1分，满分3分； ②保密措施:每完全满足一个评审标准得1分，满分3分； ③保密承诺书:每完全满足一个评审标准得1分，满分3分；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服务响应方案</w:t>
            </w:r>
          </w:p>
        </w:tc>
        <w:tc>
          <w:tcPr>
            <w:tcW w:type="dxa" w:w="2492"/>
          </w:tcPr>
          <w:p>
            <w:pPr>
              <w:pStyle w:val="null3"/>
            </w:pPr>
            <w:r>
              <w:rPr>
                <w:rFonts w:ascii="仿宋_GB2312" w:hAnsi="仿宋_GB2312" w:cs="仿宋_GB2312" w:eastAsia="仿宋_GB2312"/>
              </w:rPr>
              <w:t>一、评审内容 针对采购需求提供服务响应方案，包括但不限于：①服务标准②服务流程③服务内容④响应时间等。 二、评审标准 1、完整性：方案须全面，对评审内容中的各项要求有详细描述及说明； 2、可实施性：切合本项目实际情况，实施步骤清晰、合理； 3、针对性：方案能够紧扣项目实际情况，内容科学合理。 三、赋分标准（满分12分） ①服务标准：每完全满足一个评审标准得1分，满分3分； ②服务流程:每完全满足一个评审标准得1分，满分3分； ③服务内容:每完全满足一个评审标准得1分，满分3分； ④响应时间:每完全满足一个评审标准得1分，满分3分；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工作场地</w:t>
            </w:r>
          </w:p>
        </w:tc>
        <w:tc>
          <w:tcPr>
            <w:tcW w:type="dxa" w:w="2492"/>
          </w:tcPr>
          <w:p>
            <w:pPr>
              <w:pStyle w:val="null3"/>
            </w:pPr>
            <w:r>
              <w:rPr>
                <w:rFonts w:ascii="仿宋_GB2312" w:hAnsi="仿宋_GB2312" w:cs="仿宋_GB2312" w:eastAsia="仿宋_GB2312"/>
              </w:rPr>
              <w:t>供应商须为本项目提供固定工作场地，综合考虑工作场地的位置、交通、场地环境卫生等。内容包括但不限于①工作场地位置及交通②工作区域规划③工作环境展示等 每项内容进行了阐述且完全满足采购实际需求得4分； 每项内容进行阐述，基本满足采购实际需求得得2分； 每项内容虽阐述但未贴合实际情况进行论述，或内容未包括具体实施细节及措施得1分； 每项内容阐述不清或者不贴合本项目采购需求得0分。 注：审核依据为本项目服务的固定场所房屋证明或者租赁合同复印件以及工作区域平面图，并加盖供应商公章的，否则不得分。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拟投入的设备数量、种类、检测精度等进行评审； 仪器设备符合国家标准、设备种类全面，数量多，使用年限短，先进性及稳定性强，得4分； 设备种类基本全面，数量较多，使用年限较短，先进性及稳定性较强，得2分； 设备种类较不全面，数量较少，使用年限较长，先进性及稳定性较弱，得1分； 未提供相关内容，得0分。 注：投标人提供设备清单，包括设备名称、设备数量、购置年限、品牌、设备照片等，所有证明材料须加盖供应商公章。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1、项目负责人（4分） 项目负责人具有高级及以上职称，8年（含）以上相关鉴定人执业经验的，得4分； 具有高级及以上职称，5年（含）以上8年以下鉴定人执业经验的，得2分； 具有高级及以上职称，5年以下鉴定人执业经验的，得1分。未提供不得分。 备注：身份证、职称证、经验证明材料需提供完整经历的鉴定人执业资格证或作为鉴定人签字的完整鉴定意见书等鉴定经验证明材料复印件并加盖公章。 2、项目实施团队成员（10分） 根据采购需求及项目实施要求，本项目供应商专业实施团队人员的配备需科学合理，满足项目实际需要。供应商所提供的项目实施团队成员（不含项目负责人），具有司法鉴定人执业证或高级专业技术职称人数超过7人（含）以上得10分；7人以下得5分。 须提供相关证书或证明材料； 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供应商的业务范围如有“文书鉴定、痕迹鉴定、微量物证鉴定、录音鉴定、图像鉴定、电子数据鉴定”，每提供一个证明材料得1分，最高得5分。未提供不得分。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提供供应商近三年内（2023年1月至今）类似项目业绩（以合同签订时间为准，提供完整的合同复印件），每提供一份业绩得2分，最高得6分。若提供虚假业绩，一经发现，按无效磋商处理。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详见附件：磋商响应实施方案.docx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