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版本号：JXZB2025-W210720260104001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西安高新区GX3-36-16-2地块配合文勘工程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JXZB2025-W2107</w:t>
      </w:r>
      <w:r>
        <w:br/>
      </w:r>
      <w:r>
        <w:br/>
      </w:r>
      <w:r>
        <w:br/>
      </w:r>
    </w:p>
    <w:p>
      <w:pPr>
        <w:pStyle w:val="null3"/>
        <w:jc w:val="center"/>
        <w:outlineLvl w:val="2"/>
      </w:pPr>
      <w:r>
        <w:rPr>
          <w:rFonts w:ascii="仿宋_GB2312" w:hAnsi="仿宋_GB2312" w:cs="仿宋_GB2312" w:eastAsia="仿宋_GB2312"/>
          <w:sz w:val="28"/>
          <w:b/>
        </w:rPr>
        <w:t>西安市雁塔区鱼化街道办事处</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西安市雁塔区鱼化街道办事处</w:t>
      </w:r>
      <w:r>
        <w:rPr>
          <w:rFonts w:ascii="仿宋_GB2312" w:hAnsi="仿宋_GB2312" w:cs="仿宋_GB2312" w:eastAsia="仿宋_GB2312"/>
        </w:rPr>
        <w:t>委托，拟对</w:t>
      </w:r>
      <w:r>
        <w:rPr>
          <w:rFonts w:ascii="仿宋_GB2312" w:hAnsi="仿宋_GB2312" w:cs="仿宋_GB2312" w:eastAsia="仿宋_GB2312"/>
        </w:rPr>
        <w:t>西安高新区GX3-36-16-2地块配合文勘工程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JXZB2025-W2107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西安高新区GX3-36-16-2地块配合文勘工程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安高新区GX3-36-16-2地块配合文勘工程（位于云水四路以西）范围内垃圾内倒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采购包1（西安高新区GX3-36-16-2地块配合文勘工程）：属于专门面向中小企业采购。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1、供应商及拟派项目经理资质要求：1.供应商须具备建设行政主管部门颁发的建筑工程施工总承包三级以上(含三级)资质，且具备有效的安全生产许可证； 2.拟派项目负责人须具备建筑工程专业二级及以上(含二级)注册建造师证书和安全生产考核合格证（B证），在本单位注册，且无在建工程； 3.企业及项目经理基本信息在“陕西省住房和城乡建设厅（https://js.shaanxi.gov.cn/）陕西省建筑市场监管与诚信信息发布平台”可查询。</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3、法定代表人授权委托书：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任意一个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西安市雁塔区鱼化街道办事处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西安市天谷六路软件公寓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傅勇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029-88511174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西安市高新区锦业路38号粤汉国际C座14层（F层）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庞冰倩、贾晓燕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采购包1：1,051,050.00元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础，按照原国家计委关于《招标代理服务收费管理暂行办法》（计价格[2002]1980号）和国家发展改革委员会办公厅颁发的《关于进一步放开建设项目专项业务服务价格的通知》（发改价格[2015]299号）文件标准收取。 代理服务费缴纳信息： 户 名：中天久信管理咨询集团有限公司 开户银行：建行西安丰禾路支行 账 号：61001744100052500118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西安市雁塔区鱼化街道办事处</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西安市雁塔区鱼化街道办事处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西安市雁塔区鱼化街道办事处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联系人：庞冰倩、贾晓燕</w:t>
      </w:r>
    </w:p>
    <w:p>
      <w:pPr>
        <w:pStyle w:val="null3"/>
      </w:pPr>
      <w:r>
        <w:rPr>
          <w:rFonts w:ascii="仿宋_GB2312" w:hAnsi="仿宋_GB2312" w:cs="仿宋_GB2312" w:eastAsia="仿宋_GB2312"/>
        </w:rPr>
        <w:t>联系电话：029-89525802（转8002）</w:t>
      </w:r>
    </w:p>
    <w:p>
      <w:pPr>
        <w:pStyle w:val="null3"/>
      </w:pPr>
      <w:r>
        <w:rPr>
          <w:rFonts w:ascii="仿宋_GB2312" w:hAnsi="仿宋_GB2312" w:cs="仿宋_GB2312" w:eastAsia="仿宋_GB2312"/>
        </w:rPr>
        <w:t>地址：西安市高新区锦业路38号粤汉国际C座14层（F层）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1,051,050.00</w:t>
      </w:r>
    </w:p>
    <w:p>
      <w:pPr>
        <w:pStyle w:val="null3"/>
      </w:pPr>
      <w:r>
        <w:rPr>
          <w:rFonts w:ascii="仿宋_GB2312" w:hAnsi="仿宋_GB2312" w:cs="仿宋_GB2312" w:eastAsia="仿宋_GB2312"/>
        </w:rPr>
        <w:t>采购包最高限价（元）: 1,051,050.00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西安高新区GX3-36-16-2地块配合文勘工程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1,051,050.00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标的名称：西安高新区GX3-36-16-2地块配合文勘工程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为了加强西安高新区GX3-36-16-2地块配合文勘工程施工的管理，使本项目施工能够安全有序、文明环保、顺利地按要求高质量的完成，特制定本要求：</w:t>
            </w:r>
            <w:r>
              <w:br/>
            </w:r>
            <w:r>
              <w:rPr>
                <w:rFonts w:ascii="仿宋_GB2312" w:hAnsi="仿宋_GB2312" w:cs="仿宋_GB2312" w:eastAsia="仿宋_GB2312"/>
              </w:rPr>
              <w:t xml:space="preserve"> 一、工程概况：</w:t>
            </w:r>
            <w:r>
              <w:br/>
            </w:r>
            <w:r>
              <w:rPr>
                <w:rFonts w:ascii="仿宋_GB2312" w:hAnsi="仿宋_GB2312" w:cs="仿宋_GB2312" w:eastAsia="仿宋_GB2312"/>
              </w:rPr>
              <w:t xml:space="preserve"> 工程名称：西安高新区GX3-36-16-2地块配合文勘工程；</w:t>
            </w:r>
            <w:r>
              <w:br/>
            </w:r>
            <w:r>
              <w:rPr>
                <w:rFonts w:ascii="仿宋_GB2312" w:hAnsi="仿宋_GB2312" w:cs="仿宋_GB2312" w:eastAsia="仿宋_GB2312"/>
              </w:rPr>
              <w:t xml:space="preserve"> 工程地点：西安市高新区云水四路以西；</w:t>
            </w:r>
            <w:r>
              <w:br/>
            </w:r>
            <w:r>
              <w:rPr>
                <w:rFonts w:ascii="仿宋_GB2312" w:hAnsi="仿宋_GB2312" w:cs="仿宋_GB2312" w:eastAsia="仿宋_GB2312"/>
              </w:rPr>
              <w:t xml:space="preserve"> 工程范围及内容：西安高新区GX3-36-16-1地块配合文勘工程（位于云水四路以西）范围内垃圾内倒；</w:t>
            </w:r>
            <w:r>
              <w:br/>
            </w:r>
            <w:r>
              <w:rPr>
                <w:rFonts w:ascii="仿宋_GB2312" w:hAnsi="仿宋_GB2312" w:cs="仿宋_GB2312" w:eastAsia="仿宋_GB2312"/>
              </w:rPr>
              <w:t xml:space="preserve"> 工程规模：垃圾内倒回填方量35241.2立方米；</w:t>
            </w:r>
            <w:r>
              <w:br/>
            </w:r>
            <w:r>
              <w:rPr>
                <w:rFonts w:ascii="仿宋_GB2312" w:hAnsi="仿宋_GB2312" w:cs="仿宋_GB2312" w:eastAsia="仿宋_GB2312"/>
              </w:rPr>
              <w:t xml:space="preserve"> 内倒运距：2公里内；</w:t>
            </w:r>
            <w:r>
              <w:br/>
            </w:r>
            <w:r>
              <w:rPr>
                <w:rFonts w:ascii="仿宋_GB2312" w:hAnsi="仿宋_GB2312" w:cs="仿宋_GB2312" w:eastAsia="仿宋_GB2312"/>
              </w:rPr>
              <w:t xml:space="preserve"> 工期：30日历天；</w:t>
            </w:r>
            <w:r>
              <w:br/>
            </w:r>
            <w:r>
              <w:rPr>
                <w:rFonts w:ascii="仿宋_GB2312" w:hAnsi="仿宋_GB2312" w:cs="仿宋_GB2312" w:eastAsia="仿宋_GB2312"/>
              </w:rPr>
              <w:t xml:space="preserve"> 质量标准：合格。</w:t>
            </w:r>
            <w:r>
              <w:br/>
            </w:r>
            <w:r>
              <w:rPr>
                <w:rFonts w:ascii="仿宋_GB2312" w:hAnsi="仿宋_GB2312" w:cs="仿宋_GB2312" w:eastAsia="仿宋_GB2312"/>
              </w:rPr>
              <w:t xml:space="preserve"> 二、技术要求</w:t>
            </w:r>
            <w:r>
              <w:br/>
            </w:r>
            <w:r>
              <w:rPr>
                <w:rFonts w:ascii="仿宋_GB2312" w:hAnsi="仿宋_GB2312" w:cs="仿宋_GB2312" w:eastAsia="仿宋_GB2312"/>
              </w:rPr>
              <w:t xml:space="preserve"> （一）施工准备要求</w:t>
            </w:r>
            <w:r>
              <w:br/>
            </w:r>
            <w:r>
              <w:rPr>
                <w:rFonts w:ascii="仿宋_GB2312" w:hAnsi="仿宋_GB2312" w:cs="仿宋_GB2312" w:eastAsia="仿宋_GB2312"/>
              </w:rPr>
              <w:t xml:space="preserve"> 1、施工机械设备施工前必须进行安全检查,符合《施工现场机械设备检查技术规程》的有关规定。</w:t>
            </w:r>
            <w:r>
              <w:br/>
            </w:r>
            <w:r>
              <w:rPr>
                <w:rFonts w:ascii="仿宋_GB2312" w:hAnsi="仿宋_GB2312" w:cs="仿宋_GB2312" w:eastAsia="仿宋_GB2312"/>
              </w:rPr>
              <w:t xml:space="preserve"> 2、施工机械操作手和运输车辆司机应持证上岗,并严格遵守相关安全操作规程。</w:t>
            </w:r>
            <w:r>
              <w:br/>
            </w:r>
            <w:r>
              <w:rPr>
                <w:rFonts w:ascii="仿宋_GB2312" w:hAnsi="仿宋_GB2312" w:cs="仿宋_GB2312" w:eastAsia="仿宋_GB2312"/>
              </w:rPr>
              <w:t xml:space="preserve"> 3、施工前安全员、管理人员必须要对施工人员进行安全教育培训。</w:t>
            </w:r>
            <w:r>
              <w:br/>
            </w:r>
            <w:r>
              <w:rPr>
                <w:rFonts w:ascii="仿宋_GB2312" w:hAnsi="仿宋_GB2312" w:cs="仿宋_GB2312" w:eastAsia="仿宋_GB2312"/>
              </w:rPr>
              <w:t xml:space="preserve"> 4、施工前按设计图纸进行用地放样,确定施工界线</w:t>
            </w:r>
            <w:r>
              <w:br/>
            </w:r>
            <w:r>
              <w:rPr>
                <w:rFonts w:ascii="仿宋_GB2312" w:hAnsi="仿宋_GB2312" w:cs="仿宋_GB2312" w:eastAsia="仿宋_GB2312"/>
              </w:rPr>
              <w:t xml:space="preserve"> 5、道路用地范图内的既有房屋、道路、河沟、通讯、电力设施、上下水道、坟墓及其它地上和地下建筑物,均应协助有关部门事先折迁;对施工前发现有文物古迹应妥善保护,及时通知文物理部门进行保护或拆迁（迁移）。</w:t>
            </w:r>
            <w:r>
              <w:br/>
            </w:r>
            <w:r>
              <w:rPr>
                <w:rFonts w:ascii="仿宋_GB2312" w:hAnsi="仿宋_GB2312" w:cs="仿宋_GB2312" w:eastAsia="仿宋_GB2312"/>
              </w:rPr>
              <w:t xml:space="preserve"> （二）安全施工技术要求</w:t>
            </w:r>
            <w:r>
              <w:br/>
            </w:r>
            <w:r>
              <w:rPr>
                <w:rFonts w:ascii="仿宋_GB2312" w:hAnsi="仿宋_GB2312" w:cs="仿宋_GB2312" w:eastAsia="仿宋_GB2312"/>
              </w:rPr>
              <w:t xml:space="preserve"> 1、施工前所有参建人员必须参加项目部组织的安全技术交底，施工现场必须安全帽，施工人员和机械设备操作工必须听从现场负责人及安全员指挥。</w:t>
            </w:r>
            <w:r>
              <w:br/>
            </w:r>
            <w:r>
              <w:rPr>
                <w:rFonts w:ascii="仿宋_GB2312" w:hAnsi="仿宋_GB2312" w:cs="仿宋_GB2312" w:eastAsia="仿宋_GB2312"/>
              </w:rPr>
              <w:t xml:space="preserve"> 2、施工现场设安全员，施工作业区设安全标志，防止无关人员进入施工现场。</w:t>
            </w:r>
            <w:r>
              <w:br/>
            </w:r>
            <w:r>
              <w:rPr>
                <w:rFonts w:ascii="仿宋_GB2312" w:hAnsi="仿宋_GB2312" w:cs="仿宋_GB2312" w:eastAsia="仿宋_GB2312"/>
              </w:rPr>
              <w:t xml:space="preserve"> 3、工程施工时，现场专职安全员或技术主管要做好现场监督，坚持管生产必须管安全的“一岗双责”责任制。</w:t>
            </w:r>
            <w:r>
              <w:br/>
            </w:r>
            <w:r>
              <w:rPr>
                <w:rFonts w:ascii="仿宋_GB2312" w:hAnsi="仿宋_GB2312" w:cs="仿宋_GB2312" w:eastAsia="仿宋_GB2312"/>
              </w:rPr>
              <w:t xml:space="preserve"> 4、施工机械车辆必须有专人指挥,以防伤人伤物,以致引起伤亡和损失。</w:t>
            </w:r>
            <w:r>
              <w:br/>
            </w:r>
            <w:r>
              <w:rPr>
                <w:rFonts w:ascii="仿宋_GB2312" w:hAnsi="仿宋_GB2312" w:cs="仿宋_GB2312" w:eastAsia="仿宋_GB2312"/>
              </w:rPr>
              <w:t xml:space="preserve"> 5、项目必须确保安全生产。</w:t>
            </w:r>
            <w:r>
              <w:br/>
            </w:r>
            <w:r>
              <w:rPr>
                <w:rFonts w:ascii="仿宋_GB2312" w:hAnsi="仿宋_GB2312" w:cs="仿宋_GB2312" w:eastAsia="仿宋_GB2312"/>
              </w:rPr>
              <w:t xml:space="preserve"> （三）垃圾内倒回填技术要求</w:t>
            </w:r>
            <w:r>
              <w:br/>
            </w:r>
            <w:r>
              <w:rPr>
                <w:rFonts w:ascii="仿宋_GB2312" w:hAnsi="仿宋_GB2312" w:cs="仿宋_GB2312" w:eastAsia="仿宋_GB2312"/>
              </w:rPr>
              <w:t xml:space="preserve"> 1、施工技术要求根据施工图纸由测量员准确测量施工红线位置，并用白灰明显标记清楚。用装载机或挖掘机对原地面垃圾等进行清理</w:t>
            </w:r>
            <w:r>
              <w:br/>
            </w:r>
            <w:r>
              <w:rPr>
                <w:rFonts w:ascii="仿宋_GB2312" w:hAnsi="仿宋_GB2312" w:cs="仿宋_GB2312" w:eastAsia="仿宋_GB2312"/>
              </w:rPr>
              <w:t xml:space="preserve"> 2、用挖掘机、装载机、及自卸车配合,并下挖150CM，待文勘完成后，再对垃圾等进行回填，并且达到规范要求。</w:t>
            </w:r>
            <w:r>
              <w:br/>
            </w:r>
            <w:r>
              <w:rPr>
                <w:rFonts w:ascii="仿宋_GB2312" w:hAnsi="仿宋_GB2312" w:cs="仿宋_GB2312" w:eastAsia="仿宋_GB2312"/>
              </w:rPr>
              <w:t xml:space="preserve"> （四）文明施工和治污减霾要求</w:t>
            </w:r>
            <w:r>
              <w:br/>
            </w:r>
            <w:r>
              <w:rPr>
                <w:rFonts w:ascii="仿宋_GB2312" w:hAnsi="仿宋_GB2312" w:cs="仿宋_GB2312" w:eastAsia="仿宋_GB2312"/>
              </w:rPr>
              <w:t xml:space="preserve"> 1、严格执行《西安市出土（拆迁）工地及建筑垃圾清运扬尘防治工作标准》、西安市城市管理局关于加强出土（拆迁）工地及建筑垃圾清运扬尘管控紧急通知及进一步加强建筑垃圾清运企业和车辆管理等通知要求，严格按标准、按要求进行施工。</w:t>
            </w:r>
            <w:r>
              <w:br/>
            </w:r>
            <w:r>
              <w:rPr>
                <w:rFonts w:ascii="仿宋_GB2312" w:hAnsi="仿宋_GB2312" w:cs="仿宋_GB2312" w:eastAsia="仿宋_GB2312"/>
              </w:rPr>
              <w:t xml:space="preserve"> 2、工地出入口按要求安装空气质量自动检测设备和全自动冲洗设备及其附属设备、并确保设备全部能够正常保用；并配专职人员进行检查，严禁车辆带泥上路；施工现场全程配备洒水车，雾炮机进行降尘防尘，防止污染。对已清运达到施工要求标准的区域及时采用绿色高密度密目网进行覆盖。</w:t>
            </w:r>
            <w:r>
              <w:br/>
            </w:r>
            <w:r>
              <w:rPr>
                <w:rFonts w:ascii="仿宋_GB2312" w:hAnsi="仿宋_GB2312" w:cs="仿宋_GB2312" w:eastAsia="仿宋_GB2312"/>
              </w:rPr>
              <w:t xml:space="preserve"> 3、内倒车辆在清运作业时完全密闭，冲洗彻底，车身四周清扫并冲洗干净，车牌号建运号等清晰可见，车轮不带泥，车容整洁。</w:t>
            </w:r>
            <w:r>
              <w:br/>
            </w:r>
            <w:r>
              <w:rPr>
                <w:rFonts w:ascii="仿宋_GB2312" w:hAnsi="仿宋_GB2312" w:cs="仿宋_GB2312" w:eastAsia="仿宋_GB2312"/>
              </w:rPr>
              <w:t xml:space="preserve"> 4、加强对“黑车、黑工地”的查处力度，一经发现，坚决严肃查处。</w:t>
            </w:r>
            <w:r>
              <w:br/>
            </w:r>
            <w:r>
              <w:rPr>
                <w:rFonts w:ascii="仿宋_GB2312" w:hAnsi="仿宋_GB2312" w:cs="仿宋_GB2312" w:eastAsia="仿宋_GB2312"/>
              </w:rPr>
              <w:t xml:space="preserve"> 5、工地出入口及施工区域按要求张贴安全文明施工铭牌及宣传画。</w:t>
            </w:r>
            <w:r>
              <w:br/>
            </w:r>
            <w:r>
              <w:rPr>
                <w:rFonts w:ascii="仿宋_GB2312" w:hAnsi="仿宋_GB2312" w:cs="仿宋_GB2312" w:eastAsia="仿宋_GB2312"/>
              </w:rPr>
              <w:t xml:space="preserve"> 6、按要求做好防噪降噪工作，做到不扰民，不与附近居民起纠纷。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工期：30日历天；质量标准：合格。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或2025年度经审计的财务报告（包含审计报告和审计报告中所涉及的财务报表和报表附注），②可提供2024或2025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提供已缴纳的2024年11月至今任意一个月的纳税证明或完税证明，纳税证明或完税证明上应有代收机构或税务机关的公章或业务专用章。依法免税的供应商应提供相关文件证明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供应商及拟派项目经理资质要求</w:t>
            </w:r>
          </w:p>
        </w:tc>
        <w:tc>
          <w:tcPr>
            <w:tcW w:type="dxa" w:w="3322"/>
          </w:tcPr>
          <w:p>
            <w:pPr>
              <w:pStyle w:val="null3"/>
            </w:pPr>
            <w:r>
              <w:rPr>
                <w:rFonts w:ascii="仿宋_GB2312" w:hAnsi="仿宋_GB2312" w:cs="仿宋_GB2312" w:eastAsia="仿宋_GB2312"/>
              </w:rPr>
              <w:t>1.供应商须具备建设行政主管部门颁发的建筑工程施工总承包三级以上(含三级)资质，且具备有效的安全生产许可证； 2.拟派项目负责人须具备建筑工程专业二级及以上(含二级)注册建造师证书和安全生产考核合格证（B证），在本单位注册，且无在建工程； 3.企业及项目经理基本信息在“陕西省住房和城乡建设厅（https://js.shaanxi.gov.cn/）陕西省建筑市场监管与诚信信息发布平台”可查询。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任意一个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分项明细报价表 报价函 标的清单 首次磋商报价表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响应文件的签署、盖章满足采购文件要求</w:t>
            </w:r>
          </w:p>
        </w:tc>
        <w:tc>
          <w:tcPr>
            <w:tcW w:type="dxa" w:w="1661"/>
          </w:tcPr>
          <w:p>
            <w:pPr>
              <w:pStyle w:val="null3"/>
            </w:pPr>
            <w:r>
              <w:rPr>
                <w:rFonts w:ascii="仿宋_GB2312" w:hAnsi="仿宋_GB2312" w:cs="仿宋_GB2312" w:eastAsia="仿宋_GB2312"/>
              </w:rPr>
              <w:t>已标价工程量清单 合同条款偏离表 封皮 中小企业声明函 其他承诺 技术、服务及其他商务要求应答表 供应商应提交的相关资格证明材料 首次磋商报价表 业绩的相关证明材料 分项明细报价表 技术方案响应说明 残疾人福利性单位声明函 报价函 标的清单 响应函 监狱企业的证明文件 项目管理机构</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已标价工程量清单 分项明细报价表 报价函 标的清单 首次磋商报价表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已标价工程量清单 合同条款偏离表 封皮 中小企业声明函 其他承诺 供应商应提交的相关资格证明材料 技术、服务及其他商务要求应答表 首次磋商报价表 业绩的相关证明材料 分项明细报价表 技术方案响应说明 残疾人福利性单位声明函 报价函 标的清单 响应函 监狱企业的证明文件 项目管理机构</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包括不限于组织安排、施工、各方协调等，总体思路清晰、合理、可操作性强、可执行程度高，能很好推动项目计5分； 方案总体思路较为清晰、合理、可操作性较强、可执行程度较强计4分； 方案总体内容涵盖齐全计3分； 包括不限于组织安排、清运、各方协调等，方案总体内容涵盖不完整计2分； 方案内容粗略不全面计1分；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服务周期明确，时间安排合理、有效</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确保文勘工作质量的技术组织措施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有确保安全作业及环境保护措施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针对本项目，提出与相关部门协调保证及与文勘单位的配合措施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确保文物安全保护措施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施工过程中采取围挡及覆盖的措施，满足治污减霾工作要求</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提供健全可靠的突发事件应急处理方案，从应急调配能力及意外事故处理方案等方面进行打分，方案内容完整，针对性可行性强，确保出现突发性事件时能高效的解决突发性事件得3分； 方案内容完整，有较强的可行性，确保出现突发性事件时能及时的解决得2分； 方案内容描述简略，无法保证突发性事件得到有效的解决得1分。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拟投入机械设备安排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劳动力投入计划安排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p>
            <w:pPr>
              <w:pStyle w:val="null3"/>
            </w:pPr>
            <w:r>
              <w:rPr>
                <w:rFonts w:ascii="仿宋_GB2312" w:hAnsi="仿宋_GB2312" w:cs="仿宋_GB2312" w:eastAsia="仿宋_GB2312"/>
              </w:rPr>
              <w:t>项目管理机构</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具备高级工程师及以上职称得2分，其他职称得1分。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p>
            <w:pPr>
              <w:pStyle w:val="null3"/>
            </w:pPr>
            <w:r>
              <w:rPr>
                <w:rFonts w:ascii="仿宋_GB2312" w:hAnsi="仿宋_GB2312" w:cs="仿宋_GB2312" w:eastAsia="仿宋_GB2312"/>
              </w:rPr>
              <w:t>项目管理机构</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项目部组成科学合理、人员表配置充足，有详细的人员配置清单，针对性强，能够很好的满足项目需求，得3分； 项目部组成科学合理、人员表配置齐全，有详细的人员配置清单，有一定的针对性，满足项目需求，得2分； 项目部组成人员缺乏科学合理性，无人员配置清单，无法满足项目需求，得1分；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p>
            <w:pPr>
              <w:pStyle w:val="null3"/>
            </w:pPr>
            <w:r>
              <w:rPr>
                <w:rFonts w:ascii="仿宋_GB2312" w:hAnsi="仿宋_GB2312" w:cs="仿宋_GB2312" w:eastAsia="仿宋_GB2312"/>
              </w:rPr>
              <w:t>项目管理机构</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承诺在配合服务过程中接受采购人监督管理，如出现服务质量不能满足需求或未履行承诺时愿意接受相关经济处罚。 评审标准： 专门针对本项目编制，符合项目实际情况及实施要求，内容详尽且涵盖角度全面，合理性和可行性强，保障充分得5分；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从节约资金、各方配合、可行性等方面综合考虑，建议内容详细具体、针对性强得2分；建议内容详细具体、针对性较强得1分；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2022年1月至今类似项目业绩，每提供一份类似项目业绩合同得1分，满分5分。（以合同签订时间为准）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分项明细报价表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详见附件：封皮</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详见附件：分项明细报价表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详见附件：技术、服务及其他商务要求应答表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详见附件：项目管理机构</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详见附件：其他承诺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详见附件：文勘合同.docx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