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191CDD">
      <w:pPr>
        <w:pStyle w:val="2"/>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合同条款及格式</w:t>
      </w:r>
    </w:p>
    <w:p w14:paraId="36FEFEBA">
      <w:pPr>
        <w:shd w:val="clear" w:color="auto" w:fill="FFFFFF"/>
        <w:snapToGrid w:val="0"/>
        <w:spacing w:line="480" w:lineRule="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甲方：</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bCs/>
          <w:sz w:val="24"/>
          <w:highlight w:val="none"/>
          <w:u w:val="single"/>
        </w:rPr>
        <w:t xml:space="preserve">                          </w:t>
      </w:r>
      <w:r>
        <w:rPr>
          <w:rFonts w:hint="eastAsia" w:ascii="仿宋_GB2312" w:hAnsi="仿宋_GB2312" w:eastAsia="仿宋_GB2312" w:cs="仿宋_GB2312"/>
          <w:sz w:val="24"/>
          <w:highlight w:val="none"/>
          <w:u w:val="single"/>
        </w:rPr>
        <w:t xml:space="preserve">       </w:t>
      </w:r>
    </w:p>
    <w:p w14:paraId="0E7F234B">
      <w:pPr>
        <w:shd w:val="clear" w:color="auto" w:fill="FFFFFF"/>
        <w:snapToGrid w:val="0"/>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乙方：</w:t>
      </w:r>
      <w:r>
        <w:rPr>
          <w:rFonts w:hint="eastAsia" w:ascii="仿宋_GB2312" w:hAnsi="仿宋_GB2312" w:eastAsia="仿宋_GB2312" w:cs="仿宋_GB2312"/>
          <w:sz w:val="24"/>
          <w:highlight w:val="none"/>
          <w:u w:val="single"/>
        </w:rPr>
        <w:t xml:space="preserve">                                    </w:t>
      </w:r>
    </w:p>
    <w:p w14:paraId="60A9A576">
      <w:pPr>
        <w:shd w:val="clear" w:color="auto" w:fill="FFFFFF"/>
        <w:snapToGrid w:val="0"/>
        <w:spacing w:line="360" w:lineRule="auto"/>
        <w:ind w:firstLine="600" w:firstLineChars="250"/>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依据《</w:t>
      </w:r>
      <w:r>
        <w:rPr>
          <w:rFonts w:hint="eastAsia" w:ascii="仿宋_GB2312" w:hAnsi="仿宋_GB2312" w:eastAsia="仿宋_GB2312" w:cs="仿宋_GB2312"/>
          <w:sz w:val="24"/>
          <w:szCs w:val="24"/>
          <w:highlight w:val="none"/>
        </w:rPr>
        <w:t>中华人民共和国民法典</w:t>
      </w:r>
      <w:r>
        <w:rPr>
          <w:rFonts w:hint="eastAsia" w:ascii="仿宋_GB2312" w:hAnsi="仿宋_GB2312" w:eastAsia="仿宋_GB2312" w:cs="仿宋_GB2312"/>
          <w:sz w:val="24"/>
          <w:highlight w:val="none"/>
        </w:rPr>
        <w:t>》及其他有关法律法规，遵循平等、自愿、公平和诚实信用的原则，甲、乙双方就</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rPr>
        <w:t>相关事项达成一致意见，订立本合同。</w:t>
      </w:r>
    </w:p>
    <w:p w14:paraId="7E93F267">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一、项目范围</w:t>
      </w:r>
    </w:p>
    <w:p w14:paraId="06699D06">
      <w:pPr>
        <w:shd w:val="clear" w:color="auto" w:fill="FFFFFF"/>
        <w:snapToGrid w:val="0"/>
        <w:spacing w:line="360" w:lineRule="auto"/>
        <w:ind w:firstLine="480" w:firstLineChars="200"/>
        <w:rPr>
          <w:rFonts w:hint="eastAsia" w:ascii="仿宋_GB2312" w:hAnsi="仿宋_GB2312" w:eastAsia="仿宋_GB2312" w:cs="仿宋_GB2312"/>
          <w:sz w:val="24"/>
          <w:highlight w:val="none"/>
          <w:u w:val="single"/>
        </w:rPr>
      </w:pPr>
      <w:r>
        <w:rPr>
          <w:rFonts w:hint="eastAsia" w:ascii="仿宋_GB2312" w:hAnsi="仿宋_GB2312" w:eastAsia="仿宋_GB2312" w:cs="仿宋_GB2312"/>
          <w:sz w:val="24"/>
          <w:highlight w:val="none"/>
        </w:rPr>
        <w:t>本项目包括如下内容：</w:t>
      </w:r>
      <w:r>
        <w:rPr>
          <w:rFonts w:hint="eastAsia" w:ascii="仿宋_GB2312" w:hAnsi="仿宋_GB2312" w:eastAsia="仿宋_GB2312" w:cs="仿宋_GB2312"/>
          <w:sz w:val="24"/>
          <w:highlight w:val="none"/>
          <w:u w:val="single"/>
        </w:rPr>
        <w:t xml:space="preserve">     </w:t>
      </w:r>
    </w:p>
    <w:p w14:paraId="525FB4BA">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二、项目服务期限</w:t>
      </w:r>
    </w:p>
    <w:p w14:paraId="3C8BF967">
      <w:pPr>
        <w:shd w:val="clear" w:color="auto" w:fill="FFFFFF"/>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本项目</w:t>
      </w:r>
      <w:r>
        <w:rPr>
          <w:rFonts w:hint="eastAsia" w:ascii="仿宋_GB2312" w:hAnsi="仿宋_GB2312" w:eastAsia="仿宋_GB2312" w:cs="仿宋_GB2312"/>
          <w:b w:val="0"/>
          <w:bCs w:val="0"/>
          <w:sz w:val="24"/>
          <w:highlight w:val="none"/>
        </w:rPr>
        <w:t>服务期限</w:t>
      </w:r>
      <w:r>
        <w:rPr>
          <w:rFonts w:hint="eastAsia" w:ascii="仿宋_GB2312" w:hAnsi="仿宋_GB2312" w:eastAsia="仿宋_GB2312" w:cs="仿宋_GB2312"/>
          <w:sz w:val="24"/>
          <w:highlight w:val="none"/>
        </w:rPr>
        <w:t>为</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rPr>
        <w:t>。</w:t>
      </w:r>
    </w:p>
    <w:p w14:paraId="2D36EFD8">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三、合同文件及解释</w:t>
      </w:r>
    </w:p>
    <w:p w14:paraId="0E434509">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合同协议书</w:t>
      </w:r>
    </w:p>
    <w:p w14:paraId="4D0E711E">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成交通知书</w:t>
      </w:r>
    </w:p>
    <w:p w14:paraId="0D24C81F">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lang w:val="en-US" w:eastAsia="zh-CN"/>
        </w:rPr>
        <w:t>磋商文件</w:t>
      </w:r>
      <w:r>
        <w:rPr>
          <w:rFonts w:hint="eastAsia" w:ascii="仿宋_GB2312" w:hAnsi="仿宋_GB2312" w:eastAsia="仿宋_GB2312" w:cs="仿宋_GB2312"/>
          <w:kern w:val="28"/>
          <w:sz w:val="24"/>
          <w:highlight w:val="none"/>
        </w:rPr>
        <w:t>及澄清补遗文件</w:t>
      </w:r>
    </w:p>
    <w:p w14:paraId="3108E16E">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lang w:val="en-US" w:eastAsia="zh-CN"/>
        </w:rPr>
        <w:t>成交单位磋商响应文件</w:t>
      </w:r>
    </w:p>
    <w:p w14:paraId="6CB22615">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技术标准、规范</w:t>
      </w:r>
    </w:p>
    <w:p w14:paraId="090DE57A">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其他合同文件</w:t>
      </w:r>
    </w:p>
    <w:p w14:paraId="5E51EF77">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四、合同价款、结算与支付</w:t>
      </w:r>
    </w:p>
    <w:p w14:paraId="027DD05E">
      <w:pPr>
        <w:shd w:val="clear" w:color="auto" w:fill="FFFFFF"/>
        <w:snapToGrid w:val="0"/>
        <w:spacing w:line="360" w:lineRule="auto"/>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1、本合同总价款</w:t>
      </w:r>
    </w:p>
    <w:p w14:paraId="7855839F">
      <w:pPr>
        <w:spacing w:line="360" w:lineRule="auto"/>
        <w:ind w:left="1"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kern w:val="28"/>
          <w:sz w:val="24"/>
          <w:highlight w:val="none"/>
        </w:rPr>
        <w:t>本合同总价款为</w:t>
      </w:r>
      <w:r>
        <w:rPr>
          <w:rFonts w:hint="eastAsia" w:ascii="仿宋_GB2312" w:hAnsi="仿宋_GB2312" w:eastAsia="仿宋_GB2312" w:cs="仿宋_GB2312"/>
          <w:b/>
          <w:kern w:val="28"/>
          <w:sz w:val="24"/>
          <w:highlight w:val="none"/>
          <w:u w:val="single"/>
        </w:rPr>
        <w:t>RMB            （人民币大写：         )</w:t>
      </w:r>
      <w:r>
        <w:rPr>
          <w:rFonts w:hint="eastAsia" w:ascii="仿宋_GB2312" w:hAnsi="仿宋_GB2312" w:eastAsia="仿宋_GB2312" w:cs="仿宋_GB2312"/>
          <w:kern w:val="28"/>
          <w:sz w:val="24"/>
          <w:highlight w:val="none"/>
        </w:rPr>
        <w:t>该合同</w:t>
      </w:r>
      <w:r>
        <w:rPr>
          <w:rFonts w:hint="eastAsia" w:ascii="仿宋_GB2312" w:hAnsi="仿宋_GB2312" w:eastAsia="仿宋_GB2312" w:cs="仿宋_GB2312"/>
          <w:kern w:val="28"/>
          <w:sz w:val="24"/>
          <w:highlight w:val="none"/>
          <w:lang w:val="en-US" w:eastAsia="zh-CN"/>
        </w:rPr>
        <w:t>价格</w:t>
      </w:r>
      <w:r>
        <w:rPr>
          <w:rFonts w:hint="eastAsia" w:ascii="仿宋_GB2312" w:hAnsi="仿宋_GB2312" w:eastAsia="仿宋_GB2312" w:cs="仿宋_GB2312"/>
          <w:kern w:val="28"/>
          <w:sz w:val="24"/>
          <w:highlight w:val="none"/>
        </w:rPr>
        <w:t>包括承接甲方项目所承担的全过程的一切费用</w:t>
      </w:r>
      <w:r>
        <w:rPr>
          <w:rFonts w:hint="eastAsia" w:ascii="仿宋_GB2312" w:hAnsi="仿宋_GB2312" w:eastAsia="仿宋_GB2312" w:cs="仿宋_GB2312"/>
          <w:sz w:val="24"/>
          <w:highlight w:val="none"/>
        </w:rPr>
        <w:t>。</w:t>
      </w:r>
      <w:bookmarkStart w:id="0" w:name="_GoBack"/>
      <w:bookmarkEnd w:id="0"/>
    </w:p>
    <w:p w14:paraId="2E03E34F">
      <w:pPr>
        <w:shd w:val="clear" w:color="auto" w:fill="FFFFFF"/>
        <w:snapToGrid w:val="0"/>
        <w:spacing w:line="360" w:lineRule="auto"/>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2、支付方式</w:t>
      </w:r>
    </w:p>
    <w:p w14:paraId="0D12EE41">
      <w:pPr>
        <w:shd w:val="clear" w:color="auto" w:fill="FFFFFF"/>
        <w:snapToGrid w:val="0"/>
        <w:spacing w:line="360" w:lineRule="auto"/>
        <w:ind w:firstLine="480" w:firstLineChars="200"/>
        <w:rPr>
          <w:rFonts w:hint="default" w:ascii="仿宋_GB2312" w:hAnsi="仿宋_GB2312" w:eastAsia="仿宋_GB2312" w:cs="仿宋_GB2312"/>
          <w:kern w:val="28"/>
          <w:sz w:val="24"/>
          <w:highlight w:val="none"/>
          <w:u w:val="single"/>
          <w:lang w:val="en-US" w:eastAsia="zh-CN"/>
        </w:rPr>
      </w:pPr>
      <w:r>
        <w:rPr>
          <w:rFonts w:hint="eastAsia" w:ascii="仿宋_GB2312" w:hAnsi="仿宋_GB2312" w:eastAsia="仿宋_GB2312" w:cs="仿宋_GB2312"/>
          <w:kern w:val="28"/>
          <w:sz w:val="24"/>
          <w:highlight w:val="none"/>
        </w:rPr>
        <w:t>2.1付款方式：</w:t>
      </w:r>
      <w:r>
        <w:rPr>
          <w:rFonts w:hint="eastAsia" w:ascii="仿宋_GB2312" w:hAnsi="仿宋_GB2312" w:eastAsia="仿宋_GB2312" w:cs="仿宋_GB2312"/>
          <w:sz w:val="24"/>
          <w:highlight w:val="none"/>
          <w:u w:val="single"/>
          <w:lang w:val="en-US" w:eastAsia="zh-CN"/>
        </w:rPr>
        <w:t xml:space="preserve">                </w:t>
      </w:r>
      <w:r>
        <w:rPr>
          <w:rFonts w:hint="eastAsia" w:ascii="仿宋_GB2312" w:hAnsi="仿宋_GB2312" w:eastAsia="仿宋_GB2312" w:cs="仿宋_GB2312"/>
          <w:kern w:val="28"/>
          <w:sz w:val="24"/>
          <w:highlight w:val="none"/>
          <w:u w:val="single"/>
          <w:lang w:val="en-US" w:eastAsia="zh-CN"/>
        </w:rPr>
        <w:t>。</w:t>
      </w:r>
    </w:p>
    <w:p w14:paraId="1187F87E">
      <w:pPr>
        <w:spacing w:line="360" w:lineRule="auto"/>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3、结算方式</w:t>
      </w:r>
    </w:p>
    <w:p w14:paraId="4DEB888F">
      <w:pPr>
        <w:spacing w:line="360" w:lineRule="auto"/>
        <w:ind w:left="1" w:firstLine="480" w:firstLineChars="200"/>
        <w:rPr>
          <w:rFonts w:hint="default" w:ascii="仿宋_GB2312" w:hAnsi="仿宋_GB2312" w:eastAsia="仿宋_GB2312" w:cs="仿宋_GB2312"/>
          <w:sz w:val="24"/>
          <w:highlight w:val="none"/>
          <w:u w:val="single"/>
          <w:lang w:val="en-US" w:eastAsia="zh-CN"/>
        </w:rPr>
      </w:pPr>
      <w:r>
        <w:rPr>
          <w:rFonts w:hint="eastAsia" w:ascii="仿宋_GB2312" w:hAnsi="仿宋_GB2312" w:eastAsia="仿宋_GB2312" w:cs="仿宋_GB2312"/>
          <w:sz w:val="24"/>
          <w:highlight w:val="none"/>
          <w:lang w:val="en-US" w:eastAsia="zh-CN"/>
        </w:rPr>
        <w:t>3.1、</w:t>
      </w:r>
      <w:r>
        <w:rPr>
          <w:rFonts w:hint="eastAsia" w:ascii="仿宋_GB2312" w:hAnsi="仿宋_GB2312" w:eastAsia="仿宋_GB2312" w:cs="仿宋_GB2312"/>
          <w:sz w:val="24"/>
          <w:highlight w:val="none"/>
          <w:u w:val="single"/>
          <w:lang w:val="en-US" w:eastAsia="zh-CN"/>
        </w:rPr>
        <w:t xml:space="preserve">                        。</w:t>
      </w:r>
    </w:p>
    <w:p w14:paraId="2B2CB0AC">
      <w:pPr>
        <w:spacing w:line="360" w:lineRule="auto"/>
        <w:ind w:left="1"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3.</w:t>
      </w:r>
      <w:r>
        <w:rPr>
          <w:rFonts w:hint="eastAsia" w:ascii="仿宋_GB2312" w:hAnsi="仿宋_GB2312" w:eastAsia="仿宋_GB2312" w:cs="仿宋_GB2312"/>
          <w:sz w:val="24"/>
          <w:highlight w:val="none"/>
          <w:lang w:val="en-US" w:eastAsia="zh-CN"/>
        </w:rPr>
        <w:t>2</w:t>
      </w:r>
      <w:r>
        <w:rPr>
          <w:rFonts w:hint="eastAsia" w:ascii="仿宋_GB2312" w:hAnsi="仿宋_GB2312" w:eastAsia="仿宋_GB2312" w:cs="仿宋_GB2312"/>
          <w:sz w:val="24"/>
          <w:highlight w:val="none"/>
        </w:rPr>
        <w:t>、凡因乙方报价漏项、误报等导致的费用差异均由乙方自行承担，且必须按合同约定继续履行此部分合同内容，结算时不予调整。</w:t>
      </w:r>
    </w:p>
    <w:p w14:paraId="3053CBAC">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五、权利与义务</w:t>
      </w:r>
    </w:p>
    <w:p w14:paraId="2FD4B68C">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（一）甲方的权利与义务</w:t>
      </w:r>
    </w:p>
    <w:p w14:paraId="5DFA45F2">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1、甲方有权要求乙方服务的项目内容符合国家相关规范，符合国家验收标准，能够通过国家验收。</w:t>
      </w:r>
    </w:p>
    <w:p w14:paraId="64F6AB26">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2、甲方有权要求乙方配合甲方完成所采购服务内容的预验收工作以及正式验收工作。</w:t>
      </w:r>
    </w:p>
    <w:p w14:paraId="00BF688E">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3、甲方有权要求乙方提供的服务所涉及的第三方权利进行免责。</w:t>
      </w:r>
    </w:p>
    <w:p w14:paraId="7784A852">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4、甲方有义务保证按合同所规定的内容及时间支付乙方相关费用。</w:t>
      </w:r>
    </w:p>
    <w:p w14:paraId="1312164B">
      <w:pPr>
        <w:shd w:val="clear" w:color="auto" w:fill="FFFFFF"/>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kern w:val="28"/>
          <w:sz w:val="24"/>
          <w:highlight w:val="none"/>
        </w:rPr>
        <w:t>5、甲方</w:t>
      </w:r>
      <w:r>
        <w:rPr>
          <w:rFonts w:hint="eastAsia" w:ascii="仿宋_GB2312" w:hAnsi="仿宋_GB2312" w:eastAsia="仿宋_GB2312" w:cs="仿宋_GB2312"/>
          <w:sz w:val="24"/>
          <w:highlight w:val="none"/>
        </w:rPr>
        <w:t>项目负责人为</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rPr>
        <w:t>。</w:t>
      </w:r>
    </w:p>
    <w:p w14:paraId="4D703C4D">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（二）乙方的权利与义务</w:t>
      </w:r>
    </w:p>
    <w:p w14:paraId="3CB5EF68">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kern w:val="28"/>
          <w:sz w:val="24"/>
          <w:highlight w:val="none"/>
        </w:rPr>
        <w:t>1、乙方应</w:t>
      </w:r>
      <w:r>
        <w:rPr>
          <w:rFonts w:hint="eastAsia" w:ascii="仿宋_GB2312" w:hAnsi="仿宋_GB2312" w:eastAsia="仿宋_GB2312" w:cs="仿宋_GB2312"/>
          <w:sz w:val="24"/>
          <w:highlight w:val="none"/>
        </w:rPr>
        <w:t>按本合同的规定完成服务。</w:t>
      </w:r>
    </w:p>
    <w:p w14:paraId="27B948A2">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kern w:val="28"/>
          <w:sz w:val="24"/>
          <w:highlight w:val="none"/>
        </w:rPr>
        <w:t>2、乙方有权要求甲方按照具体情况提供必要的服务条件</w:t>
      </w:r>
      <w:r>
        <w:rPr>
          <w:rFonts w:hint="eastAsia" w:ascii="仿宋_GB2312" w:hAnsi="仿宋_GB2312" w:eastAsia="仿宋_GB2312" w:cs="仿宋_GB2312"/>
          <w:sz w:val="24"/>
          <w:highlight w:val="none"/>
        </w:rPr>
        <w:t>。</w:t>
      </w:r>
    </w:p>
    <w:p w14:paraId="7CB4FC70">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3、乙方有义务配合甲方参与项目的预验收、正式竣工验收工作，并确保所服务项目内容符合本项目质量标准。</w:t>
      </w:r>
    </w:p>
    <w:p w14:paraId="323C43F4">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kern w:val="28"/>
          <w:sz w:val="24"/>
          <w:highlight w:val="none"/>
        </w:rPr>
        <w:t>4、乙方</w:t>
      </w:r>
      <w:r>
        <w:rPr>
          <w:rFonts w:hint="eastAsia" w:ascii="仿宋_GB2312" w:hAnsi="仿宋_GB2312" w:eastAsia="仿宋_GB2312" w:cs="仿宋_GB2312"/>
          <w:sz w:val="24"/>
          <w:highlight w:val="none"/>
        </w:rPr>
        <w:t>项目负责人为</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rPr>
        <w:t>。</w:t>
      </w:r>
    </w:p>
    <w:p w14:paraId="1CAC8431">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5、在服务验收时，向买方提供相关技术文件。</w:t>
      </w:r>
    </w:p>
    <w:p w14:paraId="15A09E8E">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6、培训甲方或甲方指定的管理人员。</w:t>
      </w:r>
    </w:p>
    <w:p w14:paraId="1DDE0E85">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六、质量要求、技术标准</w:t>
      </w:r>
    </w:p>
    <w:p w14:paraId="7F3E6001">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1、质量要求：严格执行国家及行业标准规范。</w:t>
      </w:r>
    </w:p>
    <w:p w14:paraId="4423ACA6">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七、服务要求</w:t>
      </w:r>
    </w:p>
    <w:p w14:paraId="2B56100E">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1、服务要求：根据甲方要求。</w:t>
      </w:r>
    </w:p>
    <w:p w14:paraId="3C8C839F">
      <w:pPr>
        <w:spacing w:line="360" w:lineRule="auto"/>
        <w:ind w:left="-8"/>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八、服务地点</w:t>
      </w:r>
    </w:p>
    <w:p w14:paraId="4D9B8F2A">
      <w:pPr>
        <w:shd w:val="clear" w:color="auto" w:fill="FFFFFF"/>
        <w:tabs>
          <w:tab w:val="left" w:pos="425"/>
        </w:tabs>
        <w:snapToGrid w:val="0"/>
        <w:spacing w:line="360" w:lineRule="auto"/>
        <w:ind w:firstLine="480" w:firstLineChars="200"/>
        <w:textAlignment w:val="baseline"/>
        <w:rPr>
          <w:rFonts w:hint="eastAsia"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1、甲方指定地点。</w:t>
      </w:r>
    </w:p>
    <w:p w14:paraId="5FB808DD">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九、项目验收</w:t>
      </w:r>
    </w:p>
    <w:p w14:paraId="7D12839C">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kern w:val="28"/>
          <w:sz w:val="24"/>
          <w:highlight w:val="none"/>
        </w:rPr>
        <w:t>1、经甲方考评，考评合格后结算合同价款</w:t>
      </w:r>
      <w:r>
        <w:rPr>
          <w:rFonts w:hint="eastAsia" w:ascii="仿宋_GB2312" w:hAnsi="仿宋_GB2312" w:eastAsia="仿宋_GB2312" w:cs="仿宋_GB2312"/>
          <w:sz w:val="24"/>
          <w:highlight w:val="none"/>
        </w:rPr>
        <w:t>。</w:t>
      </w:r>
    </w:p>
    <w:p w14:paraId="634A571A">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十、保密条款</w:t>
      </w:r>
    </w:p>
    <w:p w14:paraId="6B8D1EE2">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双方承诺，除非法律另有规定或双方一致同意，任何一方不得将本协议的内容向第三方透露，否则，应向对方承担相应的违约责任。</w:t>
      </w:r>
    </w:p>
    <w:p w14:paraId="06291DC5">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双方同意在本协议期限内或之后，（1）只为本协议目的而使用属于对方的保密资料，（2）在未得到对方书面同意之前，不将对方的保密资料披露给第三方，以及（3）如果披露方要求，接受方应立即将任何被要求退还的保密资料退还给披露方。</w:t>
      </w:r>
    </w:p>
    <w:p w14:paraId="4701EE80">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361849C7">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十一、违约责任</w:t>
      </w:r>
    </w:p>
    <w:p w14:paraId="258BAB3E">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1、如甲方未能按照合同约定支付款项，每延迟一天应承担当期应付款2‰的违约金，违约金累计不超过当期应付款10%。若违约金累计已达上限，而甲方仍未按合同约定支付款项的，乙方有权立即终止本合同，并停止系统运行，由此给乙方带来的直接损失及间接损失应由甲方进行赔付。</w:t>
      </w:r>
    </w:p>
    <w:p w14:paraId="2B3BA292">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2、乙方应按照合同规定的期限完成系统建设，每延迟一天应承担当期应付款2‰的违约金，违约金累计不超过当期应付款10%。若违约金累计已达上限，乙方仍未履行，甲方有权解除合同。</w:t>
      </w:r>
    </w:p>
    <w:p w14:paraId="6D68B6C2">
      <w:pPr>
        <w:shd w:val="clear" w:color="auto" w:fill="FFFFFF"/>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kern w:val="28"/>
          <w:sz w:val="24"/>
          <w:highlight w:val="none"/>
        </w:rPr>
        <w:t>3</w:t>
      </w:r>
      <w:r>
        <w:rPr>
          <w:rFonts w:hint="eastAsia" w:ascii="仿宋_GB2312" w:hAnsi="仿宋_GB2312" w:eastAsia="仿宋_GB2312" w:cs="仿宋_GB2312"/>
          <w:sz w:val="24"/>
          <w:highlight w:val="none"/>
        </w:rPr>
        <w:t xml:space="preserve">、甲、乙双方中任何一方违反本合同第十条保密条款的，应当向相对方支付合同总价款 </w:t>
      </w:r>
      <w:r>
        <w:rPr>
          <w:rFonts w:hint="eastAsia" w:ascii="仿宋_GB2312" w:hAnsi="仿宋_GB2312" w:eastAsia="仿宋_GB2312" w:cs="仿宋_GB2312"/>
          <w:sz w:val="24"/>
          <w:highlight w:val="none"/>
          <w:u w:val="single"/>
        </w:rPr>
        <w:t>1 %</w:t>
      </w:r>
      <w:r>
        <w:rPr>
          <w:rFonts w:hint="eastAsia" w:ascii="仿宋_GB2312" w:hAnsi="仿宋_GB2312" w:eastAsia="仿宋_GB2312" w:cs="仿宋_GB2312"/>
          <w:sz w:val="24"/>
          <w:highlight w:val="none"/>
        </w:rPr>
        <w:t>的违约金。</w:t>
      </w:r>
    </w:p>
    <w:p w14:paraId="6D6AB810">
      <w:pPr>
        <w:shd w:val="clear" w:color="auto" w:fill="FFFFFF"/>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4、乙方向甲方保证，其在向甲方提交合同约定的产品之前对合同约定的全部产品享有完全的知识产权及所有权，并保证该产品在交付甲方使用后没有任何权属纠纷，如在甲方使用该产品的过程中出现任何权属纠纷，均由乙方承担全部</w:t>
      </w:r>
      <w:r>
        <w:rPr>
          <w:rFonts w:hint="eastAsia" w:ascii="仿宋_GB2312" w:hAnsi="仿宋_GB2312" w:eastAsia="仿宋_GB2312" w:cs="仿宋_GB2312"/>
          <w:sz w:val="24"/>
          <w:highlight w:val="none"/>
          <w:u w:val="single"/>
        </w:rPr>
        <w:t>责</w:t>
      </w:r>
      <w:r>
        <w:rPr>
          <w:rFonts w:hint="eastAsia" w:ascii="仿宋_GB2312" w:hAnsi="仿宋_GB2312" w:eastAsia="仿宋_GB2312" w:cs="仿宋_GB2312"/>
          <w:sz w:val="24"/>
          <w:highlight w:val="none"/>
        </w:rPr>
        <w:t xml:space="preserve">任，乙方还应向甲方承担合同总价款 </w:t>
      </w:r>
      <w:r>
        <w:rPr>
          <w:rFonts w:hint="eastAsia" w:ascii="仿宋_GB2312" w:hAnsi="仿宋_GB2312" w:eastAsia="仿宋_GB2312" w:cs="仿宋_GB2312"/>
          <w:sz w:val="24"/>
          <w:highlight w:val="none"/>
          <w:u w:val="single"/>
        </w:rPr>
        <w:t>1 %</w:t>
      </w:r>
      <w:r>
        <w:rPr>
          <w:rFonts w:hint="eastAsia" w:ascii="仿宋_GB2312" w:hAnsi="仿宋_GB2312" w:eastAsia="仿宋_GB2312" w:cs="仿宋_GB2312"/>
          <w:sz w:val="24"/>
          <w:highlight w:val="none"/>
        </w:rPr>
        <w:t>的违约金，违约金不足以弥补给甲方造成的损失的，乙方还应当承担补足责任。</w:t>
      </w:r>
    </w:p>
    <w:p w14:paraId="660CED31">
      <w:pPr>
        <w:shd w:val="clear" w:color="auto" w:fill="FFFFFF"/>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5、合同成立后，在任何一方无实质违约的情况下，未经相对方书面允许，任何一方不得单方撤销、中止、终止履行合同。</w:t>
      </w:r>
    </w:p>
    <w:p w14:paraId="50707AD4">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十二、争议解决</w:t>
      </w:r>
    </w:p>
    <w:p w14:paraId="7A607654">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合同各方应本着诚信的态度及共同合作的精神，通过协商及谈判来努力解决由本合同而产生的或与本合同有关（包括本合同项下某一特定货物买卖合同）的任何争议及不同意见。协商、谈判不能解决的，任何一方</w:t>
      </w:r>
      <w:r>
        <w:rPr>
          <w:rFonts w:hint="eastAsia" w:ascii="仿宋_GB2312" w:hAnsi="仿宋_GB2312" w:eastAsia="仿宋_GB2312" w:cs="仿宋_GB2312"/>
          <w:sz w:val="24"/>
          <w:highlight w:val="none"/>
        </w:rPr>
        <w:t>均有权向甲方所在地人民法院提起诉讼。</w:t>
      </w:r>
    </w:p>
    <w:p w14:paraId="00873FBF">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十三、协议期限</w:t>
      </w:r>
    </w:p>
    <w:p w14:paraId="538E262F">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本协议从双方法定代表人或授权代表签字、盖章之日起生效。</w:t>
      </w:r>
    </w:p>
    <w:p w14:paraId="0E7FD38E">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十四、不可抗力</w:t>
      </w:r>
    </w:p>
    <w:p w14:paraId="6E08A649">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1、本合同项下的“不可抗力”是指不能预见，不能避免且不能克服的客观情况，使得本合同一方当事人无法履行合同义务，如战争、严重火灾、水灾、风灾和地震以及其他经三方同意属于不可抗力的事故。</w:t>
      </w:r>
    </w:p>
    <w:p w14:paraId="7A314E93">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73765657">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3、如不可抗力时间延续90天以上的，各方通过协商达成在合理的时间内继续履行合同，或部分履行合同，或终止合同的履行。</w:t>
      </w:r>
    </w:p>
    <w:p w14:paraId="5E48444C">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4、一方迟延履行后发生不可抗力的，不能免除责任。</w:t>
      </w:r>
    </w:p>
    <w:p w14:paraId="7D7DC55D">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十五、通知和合同修改</w:t>
      </w:r>
    </w:p>
    <w:p w14:paraId="222A6521">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本合同一方给另一方的通知，都应以书面的形式（信函、传真）发送至对方，对本合同条款进行任何改动，均须由甲乙双方签署书面合同修改或经济签证，方为有效。</w:t>
      </w:r>
    </w:p>
    <w:p w14:paraId="0D493489">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十六、其他规定</w:t>
      </w:r>
    </w:p>
    <w:p w14:paraId="7969D57F">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本协议的附件为本协议不可分割的部分，与本协议正文具有同等的法律效力。协议附件与本协议约定不一致的，以本协议的约定为准，除非双方一致同意并以书面形式表示以协议附件为准。</w:t>
      </w:r>
    </w:p>
    <w:p w14:paraId="4F5B259F">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本合同甲、乙双方均同意以上条款内容。</w:t>
      </w:r>
    </w:p>
    <w:p w14:paraId="34A945F1">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本合同</w:t>
      </w:r>
      <w:r>
        <w:rPr>
          <w:rFonts w:hint="eastAsia" w:ascii="仿宋_GB2312" w:hAnsi="仿宋_GB2312" w:eastAsia="仿宋_GB2312" w:cs="仿宋_GB2312"/>
          <w:kern w:val="28"/>
          <w:sz w:val="24"/>
          <w:highlight w:val="none"/>
          <w:lang w:val="en-US" w:eastAsia="zh-CN"/>
        </w:rPr>
        <w:t>一式</w:t>
      </w:r>
      <w:r>
        <w:rPr>
          <w:rFonts w:hint="eastAsia" w:ascii="仿宋_GB2312" w:hAnsi="仿宋_GB2312" w:eastAsia="仿宋_GB2312" w:cs="仿宋_GB2312"/>
          <w:kern w:val="28"/>
          <w:sz w:val="24"/>
          <w:highlight w:val="none"/>
          <w:u w:val="single"/>
          <w:lang w:val="en-US" w:eastAsia="zh-CN"/>
        </w:rPr>
        <w:t xml:space="preserve">   </w:t>
      </w:r>
      <w:r>
        <w:rPr>
          <w:rFonts w:hint="eastAsia" w:ascii="仿宋_GB2312" w:hAnsi="仿宋_GB2312" w:eastAsia="仿宋_GB2312" w:cs="仿宋_GB2312"/>
          <w:kern w:val="28"/>
          <w:sz w:val="24"/>
          <w:highlight w:val="none"/>
        </w:rPr>
        <w:t>份，</w:t>
      </w:r>
      <w:r>
        <w:rPr>
          <w:rFonts w:hint="eastAsia" w:ascii="仿宋_GB2312" w:hAnsi="仿宋_GB2312" w:eastAsia="仿宋_GB2312" w:cs="仿宋_GB2312"/>
          <w:kern w:val="28"/>
          <w:sz w:val="24"/>
          <w:highlight w:val="none"/>
          <w:lang w:val="en-US" w:eastAsia="zh-CN"/>
        </w:rPr>
        <w:t>甲乙双方各执</w:t>
      </w:r>
      <w:r>
        <w:rPr>
          <w:rFonts w:hint="eastAsia" w:ascii="仿宋_GB2312" w:hAnsi="仿宋_GB2312" w:eastAsia="仿宋_GB2312" w:cs="仿宋_GB2312"/>
          <w:kern w:val="28"/>
          <w:sz w:val="24"/>
          <w:highlight w:val="none"/>
          <w:u w:val="single"/>
          <w:lang w:val="en-US" w:eastAsia="zh-CN"/>
        </w:rPr>
        <w:t xml:space="preserve">   </w:t>
      </w:r>
      <w:r>
        <w:rPr>
          <w:rFonts w:hint="eastAsia" w:ascii="仿宋_GB2312" w:hAnsi="仿宋_GB2312" w:eastAsia="仿宋_GB2312" w:cs="仿宋_GB2312"/>
          <w:kern w:val="28"/>
          <w:sz w:val="24"/>
          <w:highlight w:val="none"/>
        </w:rPr>
        <w:t>份</w:t>
      </w:r>
      <w:r>
        <w:rPr>
          <w:rFonts w:hint="eastAsia" w:ascii="仿宋_GB2312" w:hAnsi="仿宋_GB2312" w:eastAsia="仿宋_GB2312" w:cs="仿宋_GB2312"/>
          <w:kern w:val="28"/>
          <w:sz w:val="24"/>
          <w:highlight w:val="none"/>
          <w:lang w:eastAsia="zh-CN"/>
        </w:rPr>
        <w:t>，</w:t>
      </w:r>
      <w:r>
        <w:rPr>
          <w:rFonts w:hint="eastAsia" w:ascii="仿宋_GB2312" w:hAnsi="仿宋_GB2312" w:eastAsia="仿宋_GB2312" w:cs="仿宋_GB2312"/>
          <w:kern w:val="28"/>
          <w:sz w:val="24"/>
          <w:highlight w:val="none"/>
        </w:rPr>
        <w:t>具有同等效力。自双方授权代表签字、盖章之日起生效。</w:t>
      </w:r>
    </w:p>
    <w:p w14:paraId="04DC75D0">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本合同的订立、履行、变更、终止、解释等均适用中华人民共和国法律。</w:t>
      </w:r>
    </w:p>
    <w:p w14:paraId="74D96A8F">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本合同未尽事宜由双方共同协商，另行订立补充协议，补充协议与本协议具有同样的法律效力。如果本合同之附件与本合同规定不符, 以本合同规定为准。</w:t>
      </w:r>
    </w:p>
    <w:p w14:paraId="59FAB8C6">
      <w:pPr>
        <w:pStyle w:val="6"/>
        <w:keepNext w:val="0"/>
        <w:keepLines w:val="0"/>
        <w:pageBreakBefore w:val="0"/>
        <w:widowControl/>
        <w:kinsoku/>
        <w:wordWrap/>
        <w:overflowPunct/>
        <w:topLinePunct w:val="0"/>
        <w:autoSpaceDE/>
        <w:autoSpaceDN/>
        <w:bidi w:val="0"/>
        <w:snapToGrid w:val="0"/>
        <w:spacing w:line="360" w:lineRule="auto"/>
        <w:ind w:firstLine="560"/>
        <w:textAlignment w:val="auto"/>
        <w:outlineLvl w:val="9"/>
        <w:rPr>
          <w:rFonts w:hint="eastAsia" w:ascii="仿宋" w:hAnsi="仿宋" w:eastAsia="仿宋" w:cs="仿宋"/>
          <w:b/>
          <w:bCs/>
          <w:sz w:val="24"/>
          <w:szCs w:val="24"/>
          <w:highlight w:val="none"/>
        </w:rPr>
      </w:pPr>
      <w:r>
        <w:rPr>
          <w:rFonts w:hint="eastAsia" w:ascii="仿宋" w:hAnsi="仿宋" w:cs="仿宋"/>
          <w:b/>
          <w:bCs/>
          <w:color w:val="auto"/>
          <w:kern w:val="2"/>
          <w:sz w:val="24"/>
          <w:szCs w:val="24"/>
          <w:highlight w:val="none"/>
          <w:u w:val="none" w:color="000000"/>
          <w:shd w:val="clear" w:color="auto" w:fill="auto"/>
          <w:lang w:val="en-US" w:eastAsia="zh-CN"/>
        </w:rPr>
        <w:t>以下无正文</w:t>
      </w:r>
    </w:p>
    <w:tbl>
      <w:tblPr>
        <w:tblStyle w:val="4"/>
        <w:tblW w:w="0" w:type="auto"/>
        <w:jc w:val="center"/>
        <w:tblLayout w:type="fixed"/>
        <w:tblCellMar>
          <w:top w:w="0" w:type="dxa"/>
          <w:left w:w="108" w:type="dxa"/>
          <w:bottom w:w="0" w:type="dxa"/>
          <w:right w:w="108" w:type="dxa"/>
        </w:tblCellMar>
      </w:tblPr>
      <w:tblGrid>
        <w:gridCol w:w="4201"/>
        <w:gridCol w:w="4202"/>
      </w:tblGrid>
      <w:tr w14:paraId="535BC32B">
        <w:tblPrEx>
          <w:tblCellMar>
            <w:top w:w="0" w:type="dxa"/>
            <w:left w:w="108" w:type="dxa"/>
            <w:bottom w:w="0" w:type="dxa"/>
            <w:right w:w="108" w:type="dxa"/>
          </w:tblCellMar>
        </w:tblPrEx>
        <w:trPr>
          <w:trHeight w:val="567" w:hRule="exact"/>
          <w:jc w:val="center"/>
        </w:trPr>
        <w:tc>
          <w:tcPr>
            <w:tcW w:w="4201" w:type="dxa"/>
            <w:noWrap w:val="0"/>
            <w:vAlign w:val="center"/>
          </w:tcPr>
          <w:p w14:paraId="5AF148A5">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甲  方</w:t>
            </w:r>
          </w:p>
        </w:tc>
        <w:tc>
          <w:tcPr>
            <w:tcW w:w="4202" w:type="dxa"/>
            <w:noWrap w:val="0"/>
            <w:vAlign w:val="center"/>
          </w:tcPr>
          <w:p w14:paraId="2ED1CD6A">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乙  方</w:t>
            </w:r>
          </w:p>
        </w:tc>
      </w:tr>
      <w:tr w14:paraId="6D6AA8CB">
        <w:tblPrEx>
          <w:tblCellMar>
            <w:top w:w="0" w:type="dxa"/>
            <w:left w:w="108" w:type="dxa"/>
            <w:bottom w:w="0" w:type="dxa"/>
            <w:right w:w="108" w:type="dxa"/>
          </w:tblCellMar>
        </w:tblPrEx>
        <w:trPr>
          <w:trHeight w:val="567" w:hRule="exact"/>
          <w:jc w:val="center"/>
        </w:trPr>
        <w:tc>
          <w:tcPr>
            <w:tcW w:w="4201" w:type="dxa"/>
            <w:noWrap w:val="0"/>
            <w:vAlign w:val="center"/>
          </w:tcPr>
          <w:p w14:paraId="2711329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（盖章）</w:t>
            </w:r>
          </w:p>
        </w:tc>
        <w:tc>
          <w:tcPr>
            <w:tcW w:w="4202" w:type="dxa"/>
            <w:noWrap w:val="0"/>
            <w:vAlign w:val="center"/>
          </w:tcPr>
          <w:p w14:paraId="6721C168">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（盖章）</w:t>
            </w:r>
          </w:p>
        </w:tc>
      </w:tr>
      <w:tr w14:paraId="3EB43F3B">
        <w:tblPrEx>
          <w:tblCellMar>
            <w:top w:w="0" w:type="dxa"/>
            <w:left w:w="108" w:type="dxa"/>
            <w:bottom w:w="0" w:type="dxa"/>
            <w:right w:w="108" w:type="dxa"/>
          </w:tblCellMar>
        </w:tblPrEx>
        <w:trPr>
          <w:trHeight w:val="567" w:hRule="exact"/>
          <w:jc w:val="center"/>
        </w:trPr>
        <w:tc>
          <w:tcPr>
            <w:tcW w:w="4201" w:type="dxa"/>
            <w:noWrap w:val="0"/>
            <w:vAlign w:val="center"/>
          </w:tcPr>
          <w:p w14:paraId="47699EB9">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地址： </w:t>
            </w:r>
          </w:p>
        </w:tc>
        <w:tc>
          <w:tcPr>
            <w:tcW w:w="4202" w:type="dxa"/>
            <w:noWrap w:val="0"/>
            <w:vAlign w:val="center"/>
          </w:tcPr>
          <w:p w14:paraId="02D121D4">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地址：</w:t>
            </w:r>
          </w:p>
        </w:tc>
      </w:tr>
      <w:tr w14:paraId="635CDFE8">
        <w:tblPrEx>
          <w:tblCellMar>
            <w:top w:w="0" w:type="dxa"/>
            <w:left w:w="108" w:type="dxa"/>
            <w:bottom w:w="0" w:type="dxa"/>
            <w:right w:w="108" w:type="dxa"/>
          </w:tblCellMar>
        </w:tblPrEx>
        <w:trPr>
          <w:trHeight w:val="567" w:hRule="exact"/>
          <w:jc w:val="center"/>
        </w:trPr>
        <w:tc>
          <w:tcPr>
            <w:tcW w:w="4201" w:type="dxa"/>
            <w:noWrap w:val="0"/>
            <w:vAlign w:val="center"/>
          </w:tcPr>
          <w:p w14:paraId="26B0F54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邮编：</w:t>
            </w:r>
          </w:p>
        </w:tc>
        <w:tc>
          <w:tcPr>
            <w:tcW w:w="4202" w:type="dxa"/>
            <w:noWrap w:val="0"/>
            <w:vAlign w:val="center"/>
          </w:tcPr>
          <w:p w14:paraId="55925B98">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邮编：</w:t>
            </w:r>
          </w:p>
        </w:tc>
      </w:tr>
      <w:tr w14:paraId="225BF0BD">
        <w:tblPrEx>
          <w:tblCellMar>
            <w:top w:w="0" w:type="dxa"/>
            <w:left w:w="108" w:type="dxa"/>
            <w:bottom w:w="0" w:type="dxa"/>
            <w:right w:w="108" w:type="dxa"/>
          </w:tblCellMar>
        </w:tblPrEx>
        <w:trPr>
          <w:trHeight w:val="567" w:hRule="exact"/>
          <w:jc w:val="center"/>
        </w:trPr>
        <w:tc>
          <w:tcPr>
            <w:tcW w:w="4201" w:type="dxa"/>
            <w:noWrap w:val="0"/>
            <w:vAlign w:val="center"/>
          </w:tcPr>
          <w:p w14:paraId="681A5180">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法定代表人： </w:t>
            </w:r>
          </w:p>
        </w:tc>
        <w:tc>
          <w:tcPr>
            <w:tcW w:w="4202" w:type="dxa"/>
            <w:noWrap w:val="0"/>
            <w:vAlign w:val="center"/>
          </w:tcPr>
          <w:p w14:paraId="591E9132">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p>
        </w:tc>
      </w:tr>
      <w:tr w14:paraId="761134C9">
        <w:tblPrEx>
          <w:tblCellMar>
            <w:top w:w="0" w:type="dxa"/>
            <w:left w:w="108" w:type="dxa"/>
            <w:bottom w:w="0" w:type="dxa"/>
            <w:right w:w="108" w:type="dxa"/>
          </w:tblCellMar>
        </w:tblPrEx>
        <w:trPr>
          <w:trHeight w:val="567" w:hRule="exact"/>
          <w:jc w:val="center"/>
        </w:trPr>
        <w:tc>
          <w:tcPr>
            <w:tcW w:w="4201" w:type="dxa"/>
            <w:noWrap w:val="0"/>
            <w:vAlign w:val="center"/>
          </w:tcPr>
          <w:p w14:paraId="458975D4">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被授权代表：</w:t>
            </w:r>
          </w:p>
        </w:tc>
        <w:tc>
          <w:tcPr>
            <w:tcW w:w="4202" w:type="dxa"/>
            <w:noWrap w:val="0"/>
            <w:vAlign w:val="center"/>
          </w:tcPr>
          <w:p w14:paraId="1B667D8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被授权代表：</w:t>
            </w:r>
          </w:p>
        </w:tc>
      </w:tr>
      <w:tr w14:paraId="425C5344">
        <w:tblPrEx>
          <w:tblCellMar>
            <w:top w:w="0" w:type="dxa"/>
            <w:left w:w="108" w:type="dxa"/>
            <w:bottom w:w="0" w:type="dxa"/>
            <w:right w:w="108" w:type="dxa"/>
          </w:tblCellMar>
        </w:tblPrEx>
        <w:trPr>
          <w:trHeight w:val="567" w:hRule="exact"/>
          <w:jc w:val="center"/>
        </w:trPr>
        <w:tc>
          <w:tcPr>
            <w:tcW w:w="4201" w:type="dxa"/>
            <w:noWrap w:val="0"/>
            <w:vAlign w:val="center"/>
          </w:tcPr>
          <w:p w14:paraId="14921CF1">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电话：</w:t>
            </w:r>
          </w:p>
        </w:tc>
        <w:tc>
          <w:tcPr>
            <w:tcW w:w="4202" w:type="dxa"/>
            <w:noWrap w:val="0"/>
            <w:vAlign w:val="center"/>
          </w:tcPr>
          <w:p w14:paraId="193973B1">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电话：</w:t>
            </w:r>
          </w:p>
        </w:tc>
      </w:tr>
      <w:tr w14:paraId="5CC2D617">
        <w:tblPrEx>
          <w:tblCellMar>
            <w:top w:w="0" w:type="dxa"/>
            <w:left w:w="108" w:type="dxa"/>
            <w:bottom w:w="0" w:type="dxa"/>
            <w:right w:w="108" w:type="dxa"/>
          </w:tblCellMar>
        </w:tblPrEx>
        <w:trPr>
          <w:trHeight w:val="567" w:hRule="exact"/>
          <w:jc w:val="center"/>
        </w:trPr>
        <w:tc>
          <w:tcPr>
            <w:tcW w:w="4201" w:type="dxa"/>
            <w:noWrap w:val="0"/>
            <w:vAlign w:val="center"/>
          </w:tcPr>
          <w:p w14:paraId="5007FEF2">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传真：</w:t>
            </w:r>
          </w:p>
        </w:tc>
        <w:tc>
          <w:tcPr>
            <w:tcW w:w="4202" w:type="dxa"/>
            <w:noWrap w:val="0"/>
            <w:vAlign w:val="center"/>
          </w:tcPr>
          <w:p w14:paraId="6074C98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传真：</w:t>
            </w:r>
          </w:p>
        </w:tc>
      </w:tr>
      <w:tr w14:paraId="2586283F">
        <w:tblPrEx>
          <w:tblCellMar>
            <w:top w:w="0" w:type="dxa"/>
            <w:left w:w="108" w:type="dxa"/>
            <w:bottom w:w="0" w:type="dxa"/>
            <w:right w:w="108" w:type="dxa"/>
          </w:tblCellMar>
        </w:tblPrEx>
        <w:trPr>
          <w:trHeight w:val="567" w:hRule="exact"/>
          <w:jc w:val="center"/>
        </w:trPr>
        <w:tc>
          <w:tcPr>
            <w:tcW w:w="4201" w:type="dxa"/>
            <w:noWrap w:val="0"/>
            <w:vAlign w:val="center"/>
          </w:tcPr>
          <w:p w14:paraId="3D8B7679">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开户银行：</w:t>
            </w:r>
          </w:p>
        </w:tc>
        <w:tc>
          <w:tcPr>
            <w:tcW w:w="4202" w:type="dxa"/>
            <w:noWrap w:val="0"/>
            <w:vAlign w:val="center"/>
          </w:tcPr>
          <w:p w14:paraId="355650D8">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开户银行：</w:t>
            </w:r>
          </w:p>
        </w:tc>
      </w:tr>
      <w:tr w14:paraId="023F762F">
        <w:tblPrEx>
          <w:tblCellMar>
            <w:top w:w="0" w:type="dxa"/>
            <w:left w:w="108" w:type="dxa"/>
            <w:bottom w:w="0" w:type="dxa"/>
            <w:right w:w="108" w:type="dxa"/>
          </w:tblCellMar>
        </w:tblPrEx>
        <w:trPr>
          <w:trHeight w:val="567" w:hRule="exact"/>
          <w:jc w:val="center"/>
        </w:trPr>
        <w:tc>
          <w:tcPr>
            <w:tcW w:w="4201" w:type="dxa"/>
            <w:noWrap w:val="0"/>
            <w:vAlign w:val="center"/>
          </w:tcPr>
          <w:p w14:paraId="38104809">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日期：</w:t>
            </w:r>
          </w:p>
        </w:tc>
        <w:tc>
          <w:tcPr>
            <w:tcW w:w="4202" w:type="dxa"/>
            <w:noWrap w:val="0"/>
            <w:vAlign w:val="center"/>
          </w:tcPr>
          <w:p w14:paraId="3708DED9">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日期：</w:t>
            </w:r>
          </w:p>
        </w:tc>
      </w:tr>
    </w:tbl>
    <w:p w14:paraId="4D639B57">
      <w:pPr>
        <w:pStyle w:val="3"/>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8A6924"/>
    <w:rsid w:val="1DF86825"/>
    <w:rsid w:val="268A6924"/>
    <w:rsid w:val="30622C98"/>
    <w:rsid w:val="46820B3C"/>
    <w:rsid w:val="472D2CB8"/>
    <w:rsid w:val="4AF647C5"/>
    <w:rsid w:val="7FC605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qFormat/>
    <w:uiPriority w:val="0"/>
    <w:pPr>
      <w:keepNext/>
      <w:jc w:val="center"/>
      <w:outlineLvl w:val="0"/>
    </w:pPr>
    <w:rPr>
      <w:rFonts w:ascii="仿宋_GB2312" w:hAnsi="仿宋_GB2312" w:eastAsia="仿宋_GB2312"/>
      <w:b/>
      <w:kern w:val="2"/>
      <w:sz w:val="36"/>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toa heading"/>
    <w:basedOn w:val="1"/>
    <w:next w:val="1"/>
    <w:qFormat/>
    <w:uiPriority w:val="0"/>
    <w:pPr>
      <w:spacing w:before="120"/>
    </w:pPr>
    <w:rPr>
      <w:rFonts w:ascii="Cambria" w:hAnsi="Cambria" w:eastAsia="仿宋" w:cs="Times New Roman"/>
      <w:sz w:val="28"/>
    </w:rPr>
  </w:style>
  <w:style w:type="paragraph" w:customStyle="1" w:styleId="6">
    <w:name w:val="正文空2格  1."/>
    <w:basedOn w:val="1"/>
    <w:qFormat/>
    <w:uiPriority w:val="0"/>
    <w:pPr>
      <w:adjustRightInd w:val="0"/>
      <w:spacing w:line="360" w:lineRule="auto"/>
      <w:ind w:firstLine="480" w:firstLineChars="200"/>
      <w:textAlignment w:val="baseline"/>
    </w:pPr>
    <w:rPr>
      <w:rFonts w:ascii="宋体" w:eastAsia="仿宋" w:cs="宋体"/>
      <w:kern w:val="0"/>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2403</Words>
  <Characters>2416</Characters>
  <Lines>0</Lines>
  <Paragraphs>0</Paragraphs>
  <TotalTime>0</TotalTime>
  <ScaleCrop>false</ScaleCrop>
  <LinksUpToDate>false</LinksUpToDate>
  <CharactersWithSpaces>2636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2025-05-21T04:08:00Z</dcterms:created>
  <dc:creator>QQQQ</dc:creator>
  <cp:lastModifiedBy>QQQQ</cp:lastModifiedBy>
  <dcterms:modified xsi:type="dcterms:W3CDTF">2025-12-25T08:03:31Z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B8E81BE031094941B2476217F37B1290_11</vt:lpwstr>
  </property>
  <property fmtid="{D5CDD505-2E9C-101B-9397-08002B2CF9AE}" pid="4" name="KSOTemplateDocerSaveRecord">
    <vt:lpwstr>eyJoZGlkIjoiZDJhNTYxMTllYzUwOTU1MjM0YzExYjc3OTk0ZTNlODgiLCJ1c2VySWQiOiIzODkzMjE1NzcifQ==</vt:lpwstr>
  </property>
</Properties>
</file>