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3AF8F">
      <w:pPr>
        <w:pStyle w:val="6"/>
        <w:spacing w:line="360" w:lineRule="auto"/>
        <w:jc w:val="center"/>
        <w:outlineLvl w:val="1"/>
      </w:pPr>
      <w:r>
        <w:rPr>
          <w:rFonts w:ascii="仿宋_GB2312" w:hAnsi="仿宋_GB2312" w:eastAsia="仿宋_GB2312" w:cs="仿宋_GB2312"/>
          <w:b/>
          <w:sz w:val="36"/>
        </w:rPr>
        <w:t>拟签订采购合同文本</w:t>
      </w:r>
    </w:p>
    <w:p w14:paraId="3C8FF52E">
      <w:pPr>
        <w:bidi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甲方（采购人）：</w:t>
      </w:r>
    </w:p>
    <w:p w14:paraId="23E98C4C">
      <w:pPr>
        <w:bidi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乙方（中标人）：</w:t>
      </w:r>
    </w:p>
    <w:p w14:paraId="4B97666E">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lang w:val="en-US" w:eastAsia="zh-CN"/>
        </w:rPr>
        <w:t xml:space="preserve">                （项目名称）     标段</w:t>
      </w:r>
      <w:r>
        <w:rPr>
          <w:rFonts w:hint="eastAsia" w:ascii="仿宋" w:hAnsi="仿宋" w:eastAsia="仿宋" w:cs="仿宋"/>
          <w:sz w:val="24"/>
          <w:szCs w:val="24"/>
          <w:lang w:val="en-US" w:eastAsia="zh-CN"/>
        </w:rPr>
        <w:t>(项目编号</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)，由</w:t>
      </w:r>
      <w:r>
        <w:rPr>
          <w:rFonts w:hint="eastAsia" w:ascii="仿宋" w:hAnsi="仿宋" w:eastAsia="仿宋" w:cs="仿宋"/>
          <w:sz w:val="24"/>
          <w:szCs w:val="24"/>
          <w:lang w:val="en-US" w:eastAsia="zh-CN"/>
        </w:rPr>
        <w:t>凡硕工程管理咨询有限公司</w:t>
      </w:r>
      <w:r>
        <w:rPr>
          <w:rFonts w:hint="eastAsia" w:ascii="仿宋" w:hAnsi="仿宋" w:eastAsia="仿宋" w:cs="仿宋"/>
          <w:sz w:val="24"/>
          <w:szCs w:val="24"/>
        </w:rPr>
        <w:t>组织</w:t>
      </w:r>
      <w:r>
        <w:rPr>
          <w:rFonts w:hint="eastAsia" w:ascii="仿宋" w:hAnsi="仿宋" w:eastAsia="仿宋" w:cs="仿宋"/>
          <w:sz w:val="24"/>
          <w:szCs w:val="24"/>
          <w:lang w:val="en-US" w:eastAsia="zh-CN"/>
        </w:rPr>
        <w:t>竞争性磋商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(以下简称“甲方”)确定</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（以下简称“乙方”）为该项目的中标人。</w:t>
      </w:r>
    </w:p>
    <w:p w14:paraId="6586DBA0">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依据《中华人民共和国民法典》和《中华人民共和国政府采购法》之规定，经双方在平等、自愿、互利的基础上，签订本合同，共同信守。</w:t>
      </w:r>
    </w:p>
    <w:p w14:paraId="3EB915DF">
      <w:pPr>
        <w:bidi w:val="0"/>
        <w:spacing w:line="360" w:lineRule="auto"/>
        <w:ind w:firstLine="482" w:firstLineChars="200"/>
        <w:rPr>
          <w:rFonts w:hint="eastAsia" w:ascii="仿宋" w:hAnsi="仿宋" w:eastAsia="仿宋" w:cs="仿宋"/>
          <w:sz w:val="24"/>
          <w:szCs w:val="24"/>
          <w:u w:val="single"/>
        </w:rPr>
      </w:pPr>
      <w:r>
        <w:rPr>
          <w:rFonts w:hint="eastAsia" w:ascii="仿宋" w:hAnsi="仿宋" w:eastAsia="仿宋" w:cs="仿宋"/>
          <w:b/>
          <w:bCs/>
          <w:sz w:val="24"/>
          <w:szCs w:val="24"/>
          <w:u w:val="none"/>
        </w:rPr>
        <w:t>一、采购内容：</w:t>
      </w:r>
      <w:r>
        <w:rPr>
          <w:rFonts w:hint="eastAsia" w:ascii="仿宋" w:hAnsi="仿宋" w:eastAsia="仿宋" w:cs="仿宋"/>
          <w:sz w:val="24"/>
          <w:szCs w:val="24"/>
          <w:u w:val="single"/>
        </w:rPr>
        <w:t xml:space="preserve">                         </w:t>
      </w:r>
    </w:p>
    <w:p w14:paraId="638CF9AF">
      <w:pPr>
        <w:bidi w:val="0"/>
        <w:spacing w:line="360" w:lineRule="auto"/>
        <w:ind w:firstLine="482" w:firstLineChars="200"/>
        <w:rPr>
          <w:rFonts w:hint="default" w:ascii="仿宋" w:hAnsi="仿宋" w:eastAsia="仿宋" w:cs="仿宋"/>
          <w:sz w:val="24"/>
          <w:szCs w:val="24"/>
          <w:u w:val="single"/>
          <w:lang w:val="en-US" w:eastAsia="zh-CN"/>
        </w:rPr>
      </w:pPr>
      <w:r>
        <w:rPr>
          <w:rFonts w:hint="eastAsia" w:ascii="仿宋" w:hAnsi="仿宋" w:eastAsia="仿宋" w:cs="仿宋"/>
          <w:b/>
          <w:bCs/>
          <w:sz w:val="24"/>
          <w:szCs w:val="24"/>
          <w:u w:val="none"/>
        </w:rPr>
        <w:t>二、项目</w:t>
      </w:r>
      <w:r>
        <w:rPr>
          <w:rFonts w:hint="eastAsia" w:ascii="仿宋" w:hAnsi="仿宋" w:eastAsia="仿宋" w:cs="仿宋"/>
          <w:b/>
          <w:bCs/>
          <w:sz w:val="24"/>
          <w:szCs w:val="24"/>
          <w:u w:val="none"/>
          <w:lang w:val="en-US" w:eastAsia="zh-CN"/>
        </w:rPr>
        <w:t>供货期</w:t>
      </w:r>
      <w:r>
        <w:rPr>
          <w:rFonts w:hint="eastAsia" w:ascii="仿宋" w:hAnsi="仿宋" w:eastAsia="仿宋" w:cs="仿宋"/>
          <w:b/>
          <w:bCs/>
          <w:sz w:val="24"/>
          <w:szCs w:val="24"/>
          <w:u w:val="none"/>
        </w:rPr>
        <w:t>：</w:t>
      </w:r>
      <w:r>
        <w:rPr>
          <w:rFonts w:hint="eastAsia" w:ascii="仿宋" w:hAnsi="仿宋" w:eastAsia="仿宋" w:cs="仿宋"/>
          <w:sz w:val="24"/>
          <w:szCs w:val="24"/>
          <w:u w:val="single"/>
          <w:lang w:val="en-US" w:eastAsia="zh-CN"/>
        </w:rPr>
        <w:t xml:space="preserve">                           </w:t>
      </w:r>
    </w:p>
    <w:p w14:paraId="1A8CED09">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u w:val="none"/>
        </w:rPr>
        <w:t>三、合同文件及解释</w:t>
      </w:r>
    </w:p>
    <w:p w14:paraId="20A07662">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合同协议书</w:t>
      </w:r>
    </w:p>
    <w:p w14:paraId="11FBFDD6">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6FF92998">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竞争性磋商文件</w:t>
      </w:r>
      <w:r>
        <w:rPr>
          <w:rFonts w:hint="eastAsia" w:ascii="仿宋" w:hAnsi="仿宋" w:eastAsia="仿宋" w:cs="仿宋"/>
          <w:sz w:val="24"/>
          <w:szCs w:val="24"/>
        </w:rPr>
        <w:t>及招标补遗文件</w:t>
      </w:r>
    </w:p>
    <w:p w14:paraId="4007C4E6">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响应</w:t>
      </w:r>
      <w:r>
        <w:rPr>
          <w:rFonts w:hint="eastAsia" w:ascii="仿宋" w:hAnsi="仿宋" w:eastAsia="仿宋" w:cs="仿宋"/>
          <w:sz w:val="24"/>
          <w:szCs w:val="24"/>
        </w:rPr>
        <w:t>函</w:t>
      </w:r>
    </w:p>
    <w:p w14:paraId="7A34A0D9">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技术标准、规范</w:t>
      </w:r>
    </w:p>
    <w:p w14:paraId="21AF15D8">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其他合同文件</w:t>
      </w:r>
    </w:p>
    <w:p w14:paraId="6116221D">
      <w:pPr>
        <w:bidi w:val="0"/>
        <w:spacing w:line="360" w:lineRule="auto"/>
        <w:ind w:firstLine="482" w:firstLineChars="200"/>
        <w:rPr>
          <w:rFonts w:hint="eastAsia" w:ascii="仿宋" w:hAnsi="仿宋" w:eastAsia="仿宋" w:cs="仿宋"/>
          <w:b/>
          <w:bCs/>
          <w:sz w:val="24"/>
          <w:szCs w:val="24"/>
          <w:u w:val="none"/>
        </w:rPr>
      </w:pPr>
      <w:r>
        <w:rPr>
          <w:rFonts w:hint="eastAsia" w:ascii="仿宋" w:hAnsi="仿宋" w:eastAsia="仿宋" w:cs="仿宋"/>
          <w:b/>
          <w:bCs/>
          <w:sz w:val="24"/>
          <w:szCs w:val="24"/>
          <w:u w:val="none"/>
        </w:rPr>
        <w:t>四、合同价款、结算与支付</w:t>
      </w:r>
    </w:p>
    <w:p w14:paraId="2955C720">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1、本合同总价款</w:t>
      </w:r>
    </w:p>
    <w:p w14:paraId="299DDE3E">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本合同总价款为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元（人民币大写：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元整)，该合同总价包括设备费用（为货物到甲方安装现场的价格）及设备安装、调试、验收、培训及维护保养、保修、税费等全过程一切费用。</w:t>
      </w:r>
    </w:p>
    <w:tbl>
      <w:tblPr>
        <w:tblStyle w:val="7"/>
        <w:tblW w:w="91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1511"/>
        <w:gridCol w:w="1051"/>
        <w:gridCol w:w="1000"/>
        <w:gridCol w:w="972"/>
        <w:gridCol w:w="856"/>
        <w:gridCol w:w="1262"/>
        <w:gridCol w:w="1000"/>
        <w:gridCol w:w="727"/>
      </w:tblGrid>
      <w:tr w14:paraId="50D0D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7" w:hRule="atLeast"/>
          <w:jc w:val="center"/>
        </w:trPr>
        <w:tc>
          <w:tcPr>
            <w:tcW w:w="820" w:type="dxa"/>
            <w:vAlign w:val="center"/>
          </w:tcPr>
          <w:p w14:paraId="5C80EE8A">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序号</w:t>
            </w:r>
          </w:p>
        </w:tc>
        <w:tc>
          <w:tcPr>
            <w:tcW w:w="1511" w:type="dxa"/>
            <w:vAlign w:val="center"/>
          </w:tcPr>
          <w:p w14:paraId="03EF6C08">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设备名称</w:t>
            </w:r>
          </w:p>
        </w:tc>
        <w:tc>
          <w:tcPr>
            <w:tcW w:w="2051" w:type="dxa"/>
            <w:gridSpan w:val="2"/>
            <w:vAlign w:val="center"/>
          </w:tcPr>
          <w:p w14:paraId="71446377">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规格型号</w:t>
            </w:r>
          </w:p>
        </w:tc>
        <w:tc>
          <w:tcPr>
            <w:tcW w:w="972" w:type="dxa"/>
            <w:vAlign w:val="center"/>
          </w:tcPr>
          <w:p w14:paraId="7CC91381">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单位</w:t>
            </w:r>
          </w:p>
        </w:tc>
        <w:tc>
          <w:tcPr>
            <w:tcW w:w="856" w:type="dxa"/>
            <w:vAlign w:val="center"/>
          </w:tcPr>
          <w:p w14:paraId="6091C430">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数量</w:t>
            </w:r>
          </w:p>
        </w:tc>
        <w:tc>
          <w:tcPr>
            <w:tcW w:w="1262" w:type="dxa"/>
            <w:vAlign w:val="center"/>
          </w:tcPr>
          <w:p w14:paraId="238C425D">
            <w:pPr>
              <w:pStyle w:val="8"/>
              <w:keepNext w:val="0"/>
              <w:keepLines w:val="0"/>
              <w:pageBreakBefore w:val="0"/>
              <w:widowControl w:val="0"/>
              <w:kinsoku/>
              <w:wordWrap/>
              <w:overflowPunct/>
              <w:topLinePunct w:val="0"/>
              <w:autoSpaceDE/>
              <w:autoSpaceDN/>
              <w:bidi w:val="0"/>
              <w:adjustRightInd/>
              <w:snapToGrid/>
              <w:spacing w:before="150"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单价</w:t>
            </w:r>
          </w:p>
          <w:p w14:paraId="4DBEC7D8">
            <w:pPr>
              <w:pStyle w:val="8"/>
              <w:keepNext w:val="0"/>
              <w:keepLines w:val="0"/>
              <w:pageBreakBefore w:val="0"/>
              <w:widowControl w:val="0"/>
              <w:kinsoku/>
              <w:wordWrap/>
              <w:overflowPunct/>
              <w:topLinePunct w:val="0"/>
              <w:autoSpaceDE/>
              <w:autoSpaceDN/>
              <w:bidi w:val="0"/>
              <w:adjustRightInd/>
              <w:snapToGrid/>
              <w:spacing w:before="150"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（元）</w:t>
            </w:r>
          </w:p>
        </w:tc>
        <w:tc>
          <w:tcPr>
            <w:tcW w:w="1000" w:type="dxa"/>
            <w:vAlign w:val="center"/>
          </w:tcPr>
          <w:p w14:paraId="45EE3764">
            <w:pPr>
              <w:pStyle w:val="8"/>
              <w:keepNext w:val="0"/>
              <w:keepLines w:val="0"/>
              <w:pageBreakBefore w:val="0"/>
              <w:widowControl w:val="0"/>
              <w:kinsoku/>
              <w:wordWrap/>
              <w:overflowPunct/>
              <w:topLinePunct w:val="0"/>
              <w:autoSpaceDE/>
              <w:autoSpaceDN/>
              <w:bidi w:val="0"/>
              <w:adjustRightInd/>
              <w:snapToGrid/>
              <w:spacing w:before="150"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合价</w:t>
            </w:r>
          </w:p>
          <w:p w14:paraId="74B96B82">
            <w:pPr>
              <w:pStyle w:val="8"/>
              <w:keepNext w:val="0"/>
              <w:keepLines w:val="0"/>
              <w:pageBreakBefore w:val="0"/>
              <w:widowControl w:val="0"/>
              <w:kinsoku/>
              <w:wordWrap/>
              <w:overflowPunct/>
              <w:topLinePunct w:val="0"/>
              <w:autoSpaceDE/>
              <w:autoSpaceDN/>
              <w:bidi w:val="0"/>
              <w:adjustRightInd/>
              <w:snapToGrid/>
              <w:spacing w:before="150"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（元）</w:t>
            </w:r>
          </w:p>
        </w:tc>
        <w:tc>
          <w:tcPr>
            <w:tcW w:w="727" w:type="dxa"/>
            <w:vAlign w:val="center"/>
          </w:tcPr>
          <w:p w14:paraId="17DE2995">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备注</w:t>
            </w:r>
          </w:p>
        </w:tc>
      </w:tr>
      <w:tr w14:paraId="240F7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20" w:type="dxa"/>
            <w:vAlign w:val="center"/>
          </w:tcPr>
          <w:p w14:paraId="66589881">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w:t>
            </w:r>
          </w:p>
        </w:tc>
        <w:tc>
          <w:tcPr>
            <w:tcW w:w="1511" w:type="dxa"/>
            <w:vAlign w:val="center"/>
          </w:tcPr>
          <w:p w14:paraId="062E9CD0">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p>
        </w:tc>
        <w:tc>
          <w:tcPr>
            <w:tcW w:w="2051" w:type="dxa"/>
            <w:gridSpan w:val="2"/>
            <w:vAlign w:val="center"/>
          </w:tcPr>
          <w:p w14:paraId="7A13055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p>
        </w:tc>
        <w:tc>
          <w:tcPr>
            <w:tcW w:w="972" w:type="dxa"/>
            <w:vAlign w:val="center"/>
          </w:tcPr>
          <w:p w14:paraId="545BA22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p>
        </w:tc>
        <w:tc>
          <w:tcPr>
            <w:tcW w:w="856" w:type="dxa"/>
            <w:vAlign w:val="center"/>
          </w:tcPr>
          <w:p w14:paraId="2E74EBE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p>
        </w:tc>
        <w:tc>
          <w:tcPr>
            <w:tcW w:w="1262" w:type="dxa"/>
            <w:vAlign w:val="center"/>
          </w:tcPr>
          <w:p w14:paraId="2198DFE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p>
        </w:tc>
        <w:tc>
          <w:tcPr>
            <w:tcW w:w="1000" w:type="dxa"/>
            <w:vAlign w:val="center"/>
          </w:tcPr>
          <w:p w14:paraId="3996FEC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p>
        </w:tc>
        <w:tc>
          <w:tcPr>
            <w:tcW w:w="727" w:type="dxa"/>
            <w:vAlign w:val="center"/>
          </w:tcPr>
          <w:p w14:paraId="2E63BA8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p>
        </w:tc>
      </w:tr>
      <w:tr w14:paraId="72E98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331" w:type="dxa"/>
            <w:gridSpan w:val="2"/>
            <w:vAlign w:val="center"/>
          </w:tcPr>
          <w:p w14:paraId="776A727D">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b/>
                <w:bCs/>
                <w:kern w:val="2"/>
                <w:sz w:val="24"/>
                <w:szCs w:val="24"/>
                <w:lang w:val="en-US" w:eastAsia="zh-CN" w:bidi="ar-SA"/>
              </w:rPr>
              <w:t>合计金额（元）</w:t>
            </w:r>
          </w:p>
        </w:tc>
        <w:tc>
          <w:tcPr>
            <w:tcW w:w="1051" w:type="dxa"/>
            <w:vAlign w:val="center"/>
          </w:tcPr>
          <w:p w14:paraId="4DE65B1C">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大写</w:t>
            </w:r>
          </w:p>
        </w:tc>
        <w:tc>
          <w:tcPr>
            <w:tcW w:w="2828" w:type="dxa"/>
            <w:gridSpan w:val="3"/>
            <w:vAlign w:val="center"/>
          </w:tcPr>
          <w:p w14:paraId="6261DC0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p>
        </w:tc>
        <w:tc>
          <w:tcPr>
            <w:tcW w:w="1262" w:type="dxa"/>
            <w:vAlign w:val="center"/>
          </w:tcPr>
          <w:p w14:paraId="1FEE4AF8">
            <w:pPr>
              <w:pStyle w:val="8"/>
              <w:keepNext w:val="0"/>
              <w:keepLines w:val="0"/>
              <w:pageBreakBefore w:val="0"/>
              <w:widowControl w:val="0"/>
              <w:kinsoku/>
              <w:wordWrap/>
              <w:overflowPunct/>
              <w:topLinePunct w:val="0"/>
              <w:autoSpaceDE/>
              <w:autoSpaceDN/>
              <w:bidi w:val="0"/>
              <w:adjustRightInd/>
              <w:snapToGrid/>
              <w:spacing w:before="78"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小写</w:t>
            </w:r>
          </w:p>
        </w:tc>
        <w:tc>
          <w:tcPr>
            <w:tcW w:w="1727" w:type="dxa"/>
            <w:gridSpan w:val="2"/>
            <w:vAlign w:val="center"/>
          </w:tcPr>
          <w:p w14:paraId="54EFCC5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 w:hAnsi="仿宋" w:eastAsia="仿宋" w:cs="仿宋"/>
                <w:kern w:val="2"/>
                <w:sz w:val="24"/>
                <w:szCs w:val="24"/>
                <w:lang w:val="en-US" w:eastAsia="zh-CN" w:bidi="ar-SA"/>
              </w:rPr>
            </w:pPr>
          </w:p>
        </w:tc>
      </w:tr>
    </w:tbl>
    <w:p w14:paraId="382CB4C0">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2、付款方式</w:t>
      </w:r>
    </w:p>
    <w:p w14:paraId="2A8BEBB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按照供货进度分批次付款，累计不超过2次，每批产品供货完成，经验收合格后支付至所供产品总价款的100％ ，最后一批供货完成后支付至项目款100％。</w:t>
      </w:r>
    </w:p>
    <w:p w14:paraId="4F65093B">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3、结算说明</w:t>
      </w:r>
    </w:p>
    <w:p w14:paraId="38F340FE">
      <w:pPr>
        <w:bidi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凡因乙方投标漏项、误报等导致的费用差异均由乙方自行承担，且必须按合同约定继续履行此部分合同内容，结算时不予调整。</w:t>
      </w:r>
    </w:p>
    <w:p w14:paraId="7B4862A1">
      <w:pPr>
        <w:bidi w:val="0"/>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u w:val="none"/>
        </w:rPr>
        <w:t>五、权利与义务</w:t>
      </w:r>
    </w:p>
    <w:p w14:paraId="0041A7A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（一）甲方的权利与义务</w:t>
      </w:r>
    </w:p>
    <w:p w14:paraId="2C72770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1、甲方有权要求乙方供货及安装的项目内容符合国家相关规范，符合国家验收标准，能够通过验收。</w:t>
      </w:r>
    </w:p>
    <w:p w14:paraId="7CB835CC">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2、甲方有权要求乙方配合甲方完成所采购并安装项目内容的验收工作。</w:t>
      </w:r>
    </w:p>
    <w:p w14:paraId="2C8EF9A3">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3、甲方有权要求乙方提供的产品所涉及的第三方权利进行免责。</w:t>
      </w:r>
    </w:p>
    <w:p w14:paraId="6EC1A066">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4、甲方有义务保证按合同所规定的内容及时间支付乙方相关费用。</w:t>
      </w:r>
    </w:p>
    <w:p w14:paraId="10C09B49">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5、按本合同交货安装期要求完成相关供货、安装及调试。</w:t>
      </w:r>
    </w:p>
    <w:p w14:paraId="1FBCAD5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6、在乙方进场安装设备之前，甲方负责应保证施工现场具备卖方安装设备所需的基本条件，并向乙方进行现场情况交底，双方对现场情况进行书面确认。</w:t>
      </w:r>
    </w:p>
    <w:p w14:paraId="6316CAC1">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7、为乙方提供现场安装、调试所需的电及设备存放场地（所有费用由乙方承担）。</w:t>
      </w:r>
    </w:p>
    <w:p w14:paraId="63D411E3">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（二）乙方的权利与义务</w:t>
      </w:r>
    </w:p>
    <w:p w14:paraId="72370FAB">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1、乙方应按本合同的规定安装调试及设备，并保证产品质量。</w:t>
      </w:r>
    </w:p>
    <w:p w14:paraId="1ADA3E2E">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2、乙方有义务配合甲方参与项目的验收工作，并确保所安装项目内容符合本项目质量标准。</w:t>
      </w:r>
    </w:p>
    <w:p w14:paraId="221B2A32">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3、乙方项目负责人为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p>
    <w:p w14:paraId="4251B2A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4、乙方应全面服从甲方的管理制度、管理细则等。</w:t>
      </w:r>
    </w:p>
    <w:p w14:paraId="0A4E9C50">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5、在设备验收时，向买方提供《设备合格证》、《设备使用说明书》等技术文件。</w:t>
      </w:r>
    </w:p>
    <w:p w14:paraId="401969EA">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6、培训甲方或甲方指定的管理人员。</w:t>
      </w:r>
    </w:p>
    <w:p w14:paraId="38EF9D6D">
      <w:pPr>
        <w:bidi w:val="0"/>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u w:val="none"/>
        </w:rPr>
        <w:t>六、质量要求、技术标准</w:t>
      </w:r>
    </w:p>
    <w:p w14:paraId="032A2274">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1、质量要求：设备在设计、制造、安装过程中，严格执行国家及行业标准规范。</w:t>
      </w:r>
    </w:p>
    <w:p w14:paraId="23342B9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2、详见产品执行的技术标准。</w:t>
      </w:r>
    </w:p>
    <w:p w14:paraId="4838B281">
      <w:pPr>
        <w:bidi w:val="0"/>
        <w:spacing w:line="360" w:lineRule="auto"/>
        <w:ind w:firstLine="482" w:firstLineChars="200"/>
        <w:rPr>
          <w:rFonts w:hint="eastAsia" w:ascii="仿宋" w:hAnsi="仿宋" w:eastAsia="仿宋" w:cs="仿宋"/>
          <w:sz w:val="24"/>
          <w:szCs w:val="24"/>
          <w:lang w:val="en-US" w:eastAsia="zh-CN"/>
        </w:rPr>
      </w:pPr>
      <w:bookmarkStart w:id="0" w:name="bookmark32"/>
      <w:bookmarkEnd w:id="0"/>
      <w:r>
        <w:rPr>
          <w:rFonts w:hint="eastAsia" w:ascii="仿宋" w:hAnsi="仿宋" w:eastAsia="仿宋" w:cs="仿宋"/>
          <w:b/>
          <w:bCs/>
          <w:sz w:val="24"/>
          <w:szCs w:val="24"/>
          <w:lang w:val="en-US" w:eastAsia="zh-CN"/>
        </w:rPr>
        <w:t>七、交货及设备安装地点</w:t>
      </w:r>
    </w:p>
    <w:p w14:paraId="7D9E8C61">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1、设备交货地点： 甲方指定地点（西安市内）。</w:t>
      </w:r>
    </w:p>
    <w:p w14:paraId="0E9F346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2、设备安装地点： 甲方指定地点（西安市内）。</w:t>
      </w:r>
    </w:p>
    <w:p w14:paraId="6E8B2BC3">
      <w:pPr>
        <w:bidi w:val="0"/>
        <w:spacing w:line="360" w:lineRule="auto"/>
        <w:ind w:firstLine="482" w:firstLineChars="200"/>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八、项目验收</w:t>
      </w:r>
    </w:p>
    <w:p w14:paraId="64A66D28">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1、设备验收</w:t>
      </w:r>
    </w:p>
    <w:p w14:paraId="7EC74FA1">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乙方负责将设备运至现场后， 甲方代表根据投标文件中约定硬件设备清单和实际运抵的设备进行逐一核对、清点并确认收货。经双方共同确认后，双方代表应于当日内签字确认。</w:t>
      </w:r>
    </w:p>
    <w:p w14:paraId="11D7D43A">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2、项目正式验收</w:t>
      </w:r>
    </w:p>
    <w:p w14:paraId="11C91F24">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2.1安装调试完毕后，进行正式验收，验收合格后，甲乙双方代表应在验收报告上签字。验收报告一式两份，双方各执一份。</w:t>
      </w:r>
    </w:p>
    <w:p w14:paraId="623CF732">
      <w:pPr>
        <w:bidi w:val="0"/>
        <w:spacing w:line="360" w:lineRule="auto"/>
        <w:ind w:firstLine="482" w:firstLineChars="20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九、售后服务</w:t>
      </w:r>
    </w:p>
    <w:p w14:paraId="4848C7BD">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1、乙方对质量负责的条件和期限</w:t>
      </w:r>
    </w:p>
    <w:p w14:paraId="142CAB5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1.1本项目质保期</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年，质保期开始时间以最后一批货物安装验收完成后算起（具体质保期按照乙方承诺的质保期执行，但不得小于本次招标要求的质保时间）。</w:t>
      </w:r>
    </w:p>
    <w:p w14:paraId="203CB33E">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1.2质保期内因乙方设备和安装质量原因导致设备出现故障，负责免费维修保养。乙方应在接到甲方通知后2小时内赶到现场处理故障。</w:t>
      </w:r>
    </w:p>
    <w:p w14:paraId="20B8051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1.3质保期内甲方应按乙方提供的设备说明书对设备进行正确操作。若因甲方操作失误造成设备故障，不属于乙方保修范围。但乙方应在接到甲方通知后2小时到现场维修，费用由甲方承担。</w:t>
      </w:r>
    </w:p>
    <w:p w14:paraId="5F09A158">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2、售后服务响应</w:t>
      </w:r>
    </w:p>
    <w:p w14:paraId="7C1FB1CB">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乙方通过热线电话（7*24小时）、网络传真（5*8小时）、在线解答（5*8小时）、电子邮件（5*8小时）、现场服务（48小时）等多种方式向甲方提供服务，乙方有义务及时响应甲方的售后需求并认真服务。</w:t>
      </w:r>
    </w:p>
    <w:p w14:paraId="0013FF65">
      <w:pPr>
        <w:bidi w:val="0"/>
        <w:spacing w:line="360" w:lineRule="auto"/>
        <w:ind w:firstLine="482" w:firstLineChars="200"/>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十、保密条款</w:t>
      </w:r>
    </w:p>
    <w:p w14:paraId="3B8D7F54">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双方承诺，除非法律另有规定或双方一致同意，任何一方不得将本协议的内容向第三方透露，否则，应向对方承担相应的违约责任。</w:t>
      </w:r>
    </w:p>
    <w:p w14:paraId="5670E834">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7839B273">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w:t>
      </w:r>
      <w:bookmarkStart w:id="1" w:name="_GoBack"/>
      <w:bookmarkEnd w:id="1"/>
      <w:r>
        <w:rPr>
          <w:rFonts w:hint="eastAsia" w:ascii="仿宋" w:hAnsi="仿宋" w:eastAsia="仿宋" w:cs="仿宋"/>
          <w:sz w:val="24"/>
          <w:szCs w:val="24"/>
          <w:lang w:val="en-US" w:eastAsia="zh-CN"/>
        </w:rPr>
        <w:t>独立渠道合法获得的资料；（3）接受方在本协议保密条款签订之前已经知道的资料；（4）因法律行为（包括诉讼、仲裁等行为）和执行国家政策的需要进行披露的资料。</w:t>
      </w:r>
    </w:p>
    <w:p w14:paraId="360556AC">
      <w:pPr>
        <w:bidi w:val="0"/>
        <w:spacing w:line="360" w:lineRule="auto"/>
        <w:ind w:firstLine="482" w:firstLineChars="200"/>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十一、违约责任</w:t>
      </w:r>
    </w:p>
    <w:p w14:paraId="0E889324">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1、乙方应按照合同规定的期限完成供货及安装、调试、验收，若因乙方原因不能按期完成，情节严重的甲方有权解除合同，并视情节处以不低于合同价款30%的违约金，同时追究乙方的违约责任。</w:t>
      </w:r>
    </w:p>
    <w:p w14:paraId="0F64919A">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2、甲、乙双方中任何一方违反本合同保密条款的，应当向对方支付违约金。</w:t>
      </w:r>
    </w:p>
    <w:p w14:paraId="65767843">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 1 %的违约金，违约金不足以弥补给甲方造成的损失的，乙方还应当承担补足责任。</w:t>
      </w:r>
    </w:p>
    <w:p w14:paraId="6F7ADD10">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4、合同成立后，在任何一方无实质违约的情况下，未经相对方书面允许，任何一方不得单方撤销、中止、终止履行合同。</w:t>
      </w:r>
    </w:p>
    <w:p w14:paraId="11E3250E">
      <w:pPr>
        <w:bidi w:val="0"/>
        <w:spacing w:line="360" w:lineRule="auto"/>
        <w:ind w:firstLine="482" w:firstLineChars="20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十二、争议解决</w:t>
      </w:r>
    </w:p>
    <w:p w14:paraId="27CD0B89">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同各方应本着诚信的态度及共同合作的精神，通过协商及谈判来努力解决由本合同而产生的或与本合同有关（包括本合同项下某一特定货物买卖合同）的任何争议及不同意见。协商、谈判不能解决的，任何一方均有权向甲方所在地人民法院提起诉讼。</w:t>
      </w:r>
    </w:p>
    <w:p w14:paraId="3049CBDC">
      <w:pPr>
        <w:bidi w:val="0"/>
        <w:spacing w:line="360" w:lineRule="auto"/>
        <w:ind w:firstLine="482" w:firstLineChars="20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十三、协议生效</w:t>
      </w:r>
    </w:p>
    <w:p w14:paraId="716D5F54">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本协议从双方法定代表人或授权代表签字、盖章之日起生效。</w:t>
      </w:r>
    </w:p>
    <w:p w14:paraId="2B1A5FE2">
      <w:pPr>
        <w:bidi w:val="0"/>
        <w:spacing w:line="360" w:lineRule="auto"/>
        <w:ind w:firstLine="482" w:firstLineChars="200"/>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十四、不可抗力</w:t>
      </w:r>
    </w:p>
    <w:p w14:paraId="27DE3FD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1、本合同项下的“不可抗力”是指不能预见，不能避免且不能克服的客观情况，使得本合同一方当事人无法履行合同义务，如战争、严重火灾、水灾、风灾和地震以及其他经三方同意属于不可抗力的事故。</w:t>
      </w:r>
    </w:p>
    <w:p w14:paraId="17EA2CED">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0520E1C0">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3、如不可抗力时间延续90天以上的，各方通过协商达成在合理的时间内继续履行合同，或部分履行合同，或终止合同的履行。</w:t>
      </w:r>
    </w:p>
    <w:p w14:paraId="5F9107F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4、一方迟延履行后发生不可抗力的，不能免除责任。</w:t>
      </w:r>
    </w:p>
    <w:p w14:paraId="3AFAA653">
      <w:pPr>
        <w:bidi w:val="0"/>
        <w:spacing w:line="360" w:lineRule="auto"/>
        <w:ind w:firstLine="482" w:firstLineChars="200"/>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十五、通知和合同修改</w:t>
      </w:r>
    </w:p>
    <w:p w14:paraId="3D86D62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本合同一方给另一方的通知，都应以书面的形式（信函、传真）发送至对方，对本合同条款进行任何改动，均须由甲乙双方签署书面合同修改或经济签证，方为有效。</w:t>
      </w:r>
    </w:p>
    <w:p w14:paraId="14D67F66">
      <w:pPr>
        <w:bidi w:val="0"/>
        <w:spacing w:line="360" w:lineRule="auto"/>
        <w:ind w:firstLine="482" w:firstLineChars="200"/>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十六、其他规定</w:t>
      </w:r>
    </w:p>
    <w:p w14:paraId="043F75AB">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本协议的附件为本协议不可分割的部分，与本协议正文具有同等的法律效力。协议附件与本协议约定不一致的，以本协议的约定为准，除非双方一致同意并以书面形式表示以协议附件为准。</w:t>
      </w:r>
    </w:p>
    <w:p w14:paraId="260C09D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份，具有同等效力，甲方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份，乙方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份，自双方授权代表签字、盖章之日起生效。</w:t>
      </w:r>
    </w:p>
    <w:p w14:paraId="19343FF4">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本合同未尽事宜由双方共同协商，另行订立补充协议，补充协议与本协议具有同样的法律效力。如果本合同之附件与本合同规定不符, 以本合同规定为准。</w:t>
      </w:r>
    </w:p>
    <w:p w14:paraId="32145EE2">
      <w:pPr>
        <w:bidi w:val="0"/>
        <w:spacing w:line="360" w:lineRule="auto"/>
        <w:ind w:firstLine="480" w:firstLineChars="200"/>
        <w:rPr>
          <w:rFonts w:hint="eastAsia" w:ascii="仿宋" w:hAnsi="仿宋" w:eastAsia="仿宋" w:cs="仿宋"/>
          <w:sz w:val="24"/>
          <w:szCs w:val="24"/>
          <w:lang w:val="en-US" w:eastAsia="zh-CN"/>
        </w:rPr>
      </w:pPr>
    </w:p>
    <w:p w14:paraId="28FEE000">
      <w:pPr>
        <w:bidi w:val="0"/>
        <w:spacing w:line="360" w:lineRule="auto"/>
        <w:ind w:firstLine="480" w:firstLineChars="200"/>
        <w:rPr>
          <w:rFonts w:hint="eastAsia" w:ascii="仿宋" w:hAnsi="仿宋" w:eastAsia="仿宋" w:cs="仿宋"/>
          <w:sz w:val="24"/>
          <w:szCs w:val="24"/>
          <w:lang w:val="en-US" w:eastAsia="zh-CN"/>
        </w:rPr>
      </w:pPr>
    </w:p>
    <w:p w14:paraId="025F3BF8">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 方                             乙 方</w:t>
      </w:r>
    </w:p>
    <w:p w14:paraId="4BADB906">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（盖章）                          （盖章）</w:t>
      </w:r>
    </w:p>
    <w:p w14:paraId="3D8EF104">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地址：                            地址：</w:t>
      </w:r>
    </w:p>
    <w:p w14:paraId="696D6CBD">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法定代表人                        法定代表人</w:t>
      </w:r>
    </w:p>
    <w:p w14:paraId="1137186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或授权代表：                      或授权代表：</w:t>
      </w:r>
    </w:p>
    <w:p w14:paraId="0782ED50">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电话：                            电话：</w:t>
      </w:r>
    </w:p>
    <w:p w14:paraId="335AE7C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传真：                            传真：</w:t>
      </w:r>
    </w:p>
    <w:p w14:paraId="0B4A36EE">
      <w:pPr>
        <w:bidi w:val="0"/>
        <w:spacing w:line="360" w:lineRule="auto"/>
        <w:ind w:firstLine="480" w:firstLineChars="200"/>
        <w:rPr>
          <w:rFonts w:hint="eastAsia" w:ascii="仿宋" w:hAnsi="仿宋" w:eastAsia="仿宋" w:cs="仿宋"/>
          <w:sz w:val="24"/>
          <w:szCs w:val="24"/>
          <w:lang w:val="en-US" w:eastAsia="zh-Hans"/>
        </w:rPr>
      </w:pPr>
      <w:r>
        <w:rPr>
          <w:rFonts w:hint="eastAsia" w:ascii="仿宋" w:hAnsi="仿宋" w:eastAsia="仿宋" w:cs="仿宋"/>
          <w:sz w:val="24"/>
          <w:szCs w:val="24"/>
          <w:lang w:val="en-US" w:eastAsia="zh-CN"/>
        </w:rPr>
        <w:t>开户银行：                        开户银行：</w:t>
      </w:r>
    </w:p>
    <w:p w14:paraId="4D69D2C1">
      <w:pPr>
        <w:keepNext w:val="0"/>
        <w:keepLines w:val="0"/>
        <w:pageBreakBefore w:val="0"/>
        <w:widowControl w:val="0"/>
        <w:kinsoku/>
        <w:wordWrap/>
        <w:overflowPunct/>
        <w:topLinePunct w:val="0"/>
        <w:autoSpaceDE/>
        <w:autoSpaceDN/>
        <w:bidi w:val="0"/>
        <w:adjustRightInd/>
        <w:snapToGrid/>
        <w:spacing w:line="360" w:lineRule="exact"/>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3BB15">
    <w:pPr>
      <w:spacing w:before="110" w:line="211" w:lineRule="auto"/>
      <w:ind w:left="47"/>
      <w:rPr>
        <w:rFonts w:ascii="宋体" w:hAnsi="宋体" w:eastAsia="宋体" w:cs="宋体"/>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A6FC4"/>
    <w:rsid w:val="26144E78"/>
    <w:rsid w:val="54A45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jc w:val="center"/>
    </w:p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3031</Words>
  <Characters>3056</Characters>
  <Lines>0</Lines>
  <Paragraphs>0</Paragraphs>
  <TotalTime>19</TotalTime>
  <ScaleCrop>false</ScaleCrop>
  <LinksUpToDate>false</LinksUpToDate>
  <CharactersWithSpaces>3464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2026-01-08T02:19:00Z</dcterms:created>
  <dc:creator>Administrator</dc:creator>
  <cp:lastModifiedBy>北猫</cp:lastModifiedBy>
  <dcterms:modified xsi:type="dcterms:W3CDTF">2026-01-08T08:38:53Z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eyJoZGlkIjoiNDg5NzJmNzVhMDYwZDBhNGQ5ODVhYTc4NDg3NTY1NWQiLCJ1c2VySWQiOiI1MDI4MDY1ODgifQ==</vt:lpwstr>
  </property>
  <property fmtid="{D5CDD505-2E9C-101B-9397-08002B2CF9AE}" pid="4" name="ICV">
    <vt:lpwstr>AFEB839BB5B5471D8165516549A5696F_13</vt:lpwstr>
  </property>
</Properties>
</file>