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版本号：FSGL-2025-029、XDZ2025-417-N-25120260107001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西安高新区2025年道路果皮箱及保洁员工具箱维修项目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FSGL-2025-029、XDZ2025-417-N-251</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凡硕工程管理咨询有限公司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凡硕工程管理咨询有限公司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西安高新区2025年道路果皮箱及保洁员工具箱维修项目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FSGL-2025-029、XDZ2025-417-N-251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西安高新区2025年道路果皮箱及保洁员工具箱维修项目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西安高新区2025年道路果皮箱及保洁员工具箱维修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采购包1（西安高新区2025年道路果皮箱及保洁员工具箱维修项目）：属于专门面向中小企业采购。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与磋商的，须在响应文件中提供法定代表人身份证明；法定代表人授权代表参与磋商的，须在响应文件中提供法定代表人授权委托书（授权代表必须为本单位在职员工）。</w:t>
      </w:r>
    </w:p>
    <w:p>
      <w:pPr>
        <w:pStyle w:val="null3"/>
      </w:pPr>
      <w:r>
        <w:rPr>
          <w:rFonts w:ascii="仿宋_GB2312" w:hAnsi="仿宋_GB2312" w:cs="仿宋_GB2312" w:eastAsia="仿宋_GB2312"/>
        </w:rPr>
        <w:t>3、信誉要求：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凡硕工程管理咨询有限公司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西安市高新区汇鑫中心A座2204室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17349134683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计算收取。 （2）采购代理服务费缴纳账户： 开户名称：凡硕工程管理咨询有限公司 开 户 行：中国民生银行股份有限公司西安分行营业部 账 号：170511405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凡硕工程管理咨询有限公司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凡硕工程管理咨询有限公司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凡硕工程管理咨询有限公司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凡硕工程管理咨询有限公司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联系人：郭伟</w:t>
      </w:r>
    </w:p>
    <w:p>
      <w:pPr>
        <w:pStyle w:val="null3"/>
      </w:pPr>
      <w:r>
        <w:rPr>
          <w:rFonts w:ascii="仿宋_GB2312" w:hAnsi="仿宋_GB2312" w:cs="仿宋_GB2312" w:eastAsia="仿宋_GB2312"/>
        </w:rPr>
        <w:t>联系电话：17349134683</w:t>
      </w:r>
    </w:p>
    <w:p>
      <w:pPr>
        <w:pStyle w:val="null3"/>
      </w:pPr>
      <w:r>
        <w:rPr>
          <w:rFonts w:ascii="仿宋_GB2312" w:hAnsi="仿宋_GB2312" w:cs="仿宋_GB2312" w:eastAsia="仿宋_GB2312"/>
        </w:rPr>
        <w:t>地址：西安市高新区汇鑫中心A座2204室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西安高新区2025年道路果皮箱及保洁员工具箱维修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果皮箱及保洁员工具箱维修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标的名称：果皮箱及保洁员工具箱维修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一、主要产品技术参数及要求</w:t>
            </w:r>
          </w:p>
          <w:p>
            <w:pPr>
              <w:pStyle w:val="null3"/>
              <w:ind w:firstLine="400"/>
              <w:jc w:val="both"/>
            </w:pPr>
            <w:r>
              <w:rPr>
                <w:rFonts w:ascii="仿宋_GB2312" w:hAnsi="仿宋_GB2312" w:cs="仿宋_GB2312" w:eastAsia="仿宋_GB2312"/>
                <w:sz w:val="20"/>
              </w:rPr>
              <w:t>按照现有</w:t>
            </w:r>
            <w:r>
              <w:rPr>
                <w:rFonts w:ascii="仿宋_GB2312" w:hAnsi="仿宋_GB2312" w:cs="仿宋_GB2312" w:eastAsia="仿宋_GB2312"/>
                <w:sz w:val="20"/>
              </w:rPr>
              <w:t>道路果皮箱及保洁员工具箱</w:t>
            </w:r>
            <w:r>
              <w:rPr>
                <w:rFonts w:ascii="仿宋_GB2312" w:hAnsi="仿宋_GB2312" w:cs="仿宋_GB2312" w:eastAsia="仿宋_GB2312"/>
                <w:sz w:val="20"/>
              </w:rPr>
              <w:t>样式、材质要求进行原样维修。</w:t>
            </w:r>
          </w:p>
          <w:p>
            <w:pPr>
              <w:pStyle w:val="null3"/>
              <w:ind w:firstLine="402"/>
              <w:jc w:val="both"/>
            </w:pPr>
            <w:r>
              <w:rPr>
                <w:rFonts w:ascii="仿宋_GB2312" w:hAnsi="仿宋_GB2312" w:cs="仿宋_GB2312" w:eastAsia="仿宋_GB2312"/>
                <w:sz w:val="20"/>
                <w:b/>
                <w:color w:val="000000"/>
              </w:rPr>
              <w:t>现有果皮箱</w:t>
            </w:r>
            <w:r>
              <w:rPr>
                <w:rFonts w:ascii="仿宋_GB2312" w:hAnsi="仿宋_GB2312" w:cs="仿宋_GB2312" w:eastAsia="仿宋_GB2312"/>
                <w:sz w:val="20"/>
                <w:b/>
                <w:color w:val="000000"/>
              </w:rPr>
              <w:t>技术要求：</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color w:val="000000"/>
              </w:rPr>
              <w:t>类型一：</w:t>
            </w:r>
            <w:r>
              <w:rPr>
                <w:rFonts w:ascii="仿宋_GB2312" w:hAnsi="仿宋_GB2312" w:cs="仿宋_GB2312" w:eastAsia="仿宋_GB2312"/>
                <w:sz w:val="20"/>
                <w:color w:val="000000"/>
              </w:rPr>
              <w:t>果皮箱</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700×400×1000（mm）</w:t>
            </w:r>
          </w:p>
          <w:p>
            <w:pPr>
              <w:pStyle w:val="null3"/>
              <w:ind w:firstLine="400"/>
              <w:jc w:val="both"/>
            </w:pPr>
            <w:r>
              <w:rPr>
                <w:rFonts w:ascii="仿宋_GB2312" w:hAnsi="仿宋_GB2312" w:cs="仿宋_GB2312" w:eastAsia="仿宋_GB2312"/>
                <w:sz w:val="20"/>
                <w:color w:val="000000"/>
              </w:rPr>
              <w:t>类型二：</w:t>
            </w:r>
            <w:r>
              <w:rPr>
                <w:rFonts w:ascii="仿宋_GB2312" w:hAnsi="仿宋_GB2312" w:cs="仿宋_GB2312" w:eastAsia="仿宋_GB2312"/>
                <w:sz w:val="20"/>
                <w:color w:val="000000"/>
              </w:rPr>
              <w:t>果皮箱</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950×400×1000（mm）</w:t>
            </w:r>
          </w:p>
          <w:p>
            <w:pPr>
              <w:pStyle w:val="null3"/>
              <w:ind w:firstLine="400"/>
              <w:jc w:val="both"/>
            </w:pPr>
            <w:r>
              <w:rPr>
                <w:rFonts w:ascii="仿宋_GB2312" w:hAnsi="仿宋_GB2312" w:cs="仿宋_GB2312" w:eastAsia="仿宋_GB2312"/>
                <w:sz w:val="20"/>
                <w:color w:val="000000"/>
              </w:rPr>
              <w:t>类型三：果皮箱</w:t>
            </w:r>
            <w:r>
              <w:rPr>
                <w:rFonts w:ascii="仿宋_GB2312" w:hAnsi="仿宋_GB2312" w:cs="仿宋_GB2312" w:eastAsia="仿宋_GB2312"/>
                <w:sz w:val="20"/>
                <w:color w:val="000000"/>
              </w:rPr>
              <w:t>箱体</w:t>
            </w:r>
            <w:r>
              <w:rPr>
                <w:rFonts w:ascii="仿宋_GB2312" w:hAnsi="仿宋_GB2312" w:cs="仿宋_GB2312" w:eastAsia="仿宋_GB2312"/>
                <w:sz w:val="20"/>
                <w:color w:val="000000"/>
              </w:rPr>
              <w:t>1160×550×1100（mm）</w:t>
            </w:r>
          </w:p>
          <w:p>
            <w:pPr>
              <w:pStyle w:val="null3"/>
              <w:ind w:firstLine="400"/>
              <w:jc w:val="both"/>
            </w:pPr>
            <w:r>
              <w:rPr>
                <w:rFonts w:ascii="仿宋_GB2312" w:hAnsi="仿宋_GB2312" w:cs="仿宋_GB2312" w:eastAsia="仿宋_GB2312"/>
                <w:sz w:val="20"/>
                <w:color w:val="000000"/>
              </w:rPr>
              <w:t>类型四：保洁员工具箱</w:t>
            </w:r>
            <w:r>
              <w:rPr>
                <w:rFonts w:ascii="仿宋_GB2312" w:hAnsi="仿宋_GB2312" w:cs="仿宋_GB2312" w:eastAsia="仿宋_GB2312"/>
                <w:sz w:val="20"/>
              </w:rPr>
              <w:t>2700×600×500（mm）</w:t>
            </w:r>
          </w:p>
          <w:p>
            <w:pPr>
              <w:pStyle w:val="null3"/>
              <w:ind w:firstLine="400"/>
              <w:jc w:val="both"/>
            </w:pPr>
            <w:r>
              <w:rPr>
                <w:rFonts w:ascii="仿宋_GB2312" w:hAnsi="仿宋_GB2312" w:cs="仿宋_GB2312" w:eastAsia="仿宋_GB2312"/>
                <w:sz w:val="20"/>
              </w:rPr>
              <w:t>1.果皮箱中柱、箱体采用厚度1.0mm优质镀锌板材质压制并焊接成型，顶盖采用1.2mm优质镀锌板材质，顶盖与立柱连接</w:t>
            </w:r>
            <w:r>
              <w:rPr>
                <w:rFonts w:ascii="仿宋_GB2312" w:hAnsi="仿宋_GB2312" w:cs="仿宋_GB2312" w:eastAsia="仿宋_GB2312"/>
                <w:sz w:val="20"/>
              </w:rPr>
              <w:t>处必须焊接牢固，提高顶盖强度及增加顶盖的美观度；工具箱</w:t>
            </w:r>
            <w:r>
              <w:rPr>
                <w:rFonts w:ascii="仿宋_GB2312" w:hAnsi="仿宋_GB2312" w:cs="仿宋_GB2312" w:eastAsia="仿宋_GB2312"/>
                <w:sz w:val="20"/>
              </w:rPr>
              <w:t>箱体外包围及底板、后围立板采用厚度</w:t>
            </w:r>
            <w:r>
              <w:rPr>
                <w:rFonts w:ascii="仿宋_GB2312" w:hAnsi="仿宋_GB2312" w:cs="仿宋_GB2312" w:eastAsia="仿宋_GB2312"/>
                <w:sz w:val="20"/>
              </w:rPr>
              <w:t>≥2.0mm的</w:t>
            </w:r>
            <w:r>
              <w:rPr>
                <w:rFonts w:ascii="仿宋_GB2312" w:hAnsi="仿宋_GB2312" w:cs="仿宋_GB2312" w:eastAsia="仿宋_GB2312"/>
                <w:sz w:val="20"/>
              </w:rPr>
              <w:t>优质镀锌板</w:t>
            </w:r>
            <w:r>
              <w:rPr>
                <w:rFonts w:ascii="仿宋_GB2312" w:hAnsi="仿宋_GB2312" w:cs="仿宋_GB2312" w:eastAsia="仿宋_GB2312"/>
                <w:sz w:val="20"/>
              </w:rPr>
              <w:t>制作而成，内部骨架采用</w:t>
            </w:r>
            <w:r>
              <w:rPr>
                <w:rFonts w:ascii="仿宋_GB2312" w:hAnsi="仿宋_GB2312" w:cs="仿宋_GB2312" w:eastAsia="仿宋_GB2312"/>
                <w:sz w:val="20"/>
              </w:rPr>
              <w:t>20*20方管焊接，保证箱体强度，顶部使用40*60*1800mm塑木整条安装，门板采用≥1.2mm的</w:t>
            </w:r>
            <w:r>
              <w:rPr>
                <w:rFonts w:ascii="仿宋_GB2312" w:hAnsi="仿宋_GB2312" w:cs="仿宋_GB2312" w:eastAsia="仿宋_GB2312"/>
                <w:sz w:val="20"/>
              </w:rPr>
              <w:t>优质镀锌板</w:t>
            </w:r>
            <w:r>
              <w:rPr>
                <w:rFonts w:ascii="仿宋_GB2312" w:hAnsi="仿宋_GB2312" w:cs="仿宋_GB2312" w:eastAsia="仿宋_GB2312"/>
                <w:sz w:val="20"/>
              </w:rPr>
              <w:t>材质。</w:t>
            </w:r>
          </w:p>
          <w:p>
            <w:pPr>
              <w:pStyle w:val="null3"/>
              <w:ind w:firstLine="400"/>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双体分类式，分为可回收物和其它垃圾，同时设有灭烟处。灭烟板采用厚度</w:t>
            </w:r>
            <w:r>
              <w:rPr>
                <w:rFonts w:ascii="仿宋_GB2312" w:hAnsi="仿宋_GB2312" w:cs="仿宋_GB2312" w:eastAsia="仿宋_GB2312"/>
                <w:sz w:val="20"/>
                <w:color w:val="000000"/>
              </w:rPr>
              <w:t>≥0.8mm拉丝不锈钢材质经模具冲压一次成形</w:t>
            </w:r>
            <w:r>
              <w:rPr>
                <w:rFonts w:ascii="仿宋_GB2312" w:hAnsi="仿宋_GB2312" w:cs="仿宋_GB2312" w:eastAsia="仿宋_GB2312"/>
                <w:sz w:val="20"/>
                <w:color w:val="000000"/>
              </w:rPr>
              <w:t>。</w:t>
            </w:r>
          </w:p>
          <w:p>
            <w:pPr>
              <w:pStyle w:val="null3"/>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rPr>
              <w:t>果皮箱采用左右开门方式，箱门铰链采用优质不锈钢材质长排型合页，门启闭灵活，门板上下增加拉簧，方便门板自动回位。锁具采用防盗专用三角锁；门板上模具冲压内凹式拉手，要求拉手与门板一体喷涂同一颜色，不存在后期脱焊或脱落的隐患，使用方便牢固。</w:t>
            </w:r>
          </w:p>
          <w:p>
            <w:pPr>
              <w:pStyle w:val="null3"/>
              <w:ind w:firstLine="400"/>
              <w:jc w:val="both"/>
            </w:pPr>
            <w:r>
              <w:rPr>
                <w:rFonts w:ascii="仿宋_GB2312" w:hAnsi="仿宋_GB2312" w:cs="仿宋_GB2312" w:eastAsia="仿宋_GB2312"/>
                <w:sz w:val="20"/>
              </w:rPr>
              <w:t>4.内胆为玻璃钢或镀锌板材质，内壁光滑，内胆与投放口间隙小，防止垃圾掉入缝隙。</w:t>
            </w:r>
          </w:p>
          <w:p>
            <w:pPr>
              <w:pStyle w:val="null3"/>
              <w:ind w:firstLine="400"/>
              <w:jc w:val="both"/>
            </w:pPr>
            <w:r>
              <w:rPr>
                <w:rFonts w:ascii="仿宋_GB2312" w:hAnsi="仿宋_GB2312" w:cs="仿宋_GB2312" w:eastAsia="仿宋_GB2312"/>
                <w:sz w:val="20"/>
              </w:rPr>
              <w:t>5.果皮箱底部设底座固定板 2 根，每根固定板预留螺栓孔 2 个，内置4个膨胀螺栓固定，具有防盗功能。</w:t>
            </w:r>
          </w:p>
          <w:p>
            <w:pPr>
              <w:pStyle w:val="null3"/>
              <w:ind w:firstLine="400"/>
              <w:jc w:val="both"/>
            </w:pPr>
            <w:r>
              <w:rPr>
                <w:rFonts w:ascii="仿宋_GB2312" w:hAnsi="仿宋_GB2312" w:cs="仿宋_GB2312" w:eastAsia="仿宋_GB2312"/>
                <w:sz w:val="20"/>
              </w:rPr>
              <w:t>6.果皮箱要求焊接美观，打磨光滑，内外喷涂均匀，成品无明显未经处理的焊接点。</w:t>
            </w:r>
          </w:p>
          <w:p>
            <w:pPr>
              <w:pStyle w:val="null3"/>
              <w:ind w:firstLine="400"/>
              <w:jc w:val="both"/>
            </w:pPr>
            <w:r>
              <w:rPr>
                <w:rFonts w:ascii="仿宋_GB2312" w:hAnsi="仿宋_GB2312" w:cs="仿宋_GB2312" w:eastAsia="仿宋_GB2312"/>
                <w:sz w:val="20"/>
              </w:rPr>
              <w:t>7.保洁员工具箱箱锁、合页、喷漆要求与果皮箱一致，表面塑木（防腐木）与原材质一致，需粘贴固定牢固。</w:t>
            </w:r>
          </w:p>
          <w:p>
            <w:pPr>
              <w:pStyle w:val="null3"/>
              <w:ind w:firstLine="400"/>
              <w:jc w:val="both"/>
            </w:pPr>
            <w:r>
              <w:rPr>
                <w:rFonts w:ascii="仿宋_GB2312" w:hAnsi="仿宋_GB2312" w:cs="仿宋_GB2312" w:eastAsia="仿宋_GB2312"/>
                <w:sz w:val="20"/>
              </w:rPr>
              <w:t>8.箱体喷涂为深灰亚光塑粉（钢制件表面均应经酸洗磷化等防锈处理后再喷涂，整体表面采用高品质户外塑粉静电喷涂，涂料厚度达到90um，经过200℃高温固化处理；产品耐酸碱、耐湿热、抗老化，能适合潮湿和酸雨环境，所用原料不含有毒元素）、美观大方，实用、防盗型，符合现代设施要求。</w:t>
            </w:r>
          </w:p>
          <w:p>
            <w:pPr>
              <w:pStyle w:val="null3"/>
              <w:ind w:firstLine="400"/>
              <w:jc w:val="both"/>
            </w:pPr>
            <w:r>
              <w:rPr>
                <w:rFonts w:ascii="仿宋_GB2312" w:hAnsi="仿宋_GB2312" w:cs="仿宋_GB2312" w:eastAsia="仿宋_GB2312"/>
                <w:sz w:val="20"/>
              </w:rPr>
              <w:t>9.箱体按照采购人要求进行宣传标语油墨丝印。要求丝印耐磨损、耐腐蚀、抗UV，5年内不脱落不掉色。分类标志参照《城市生活垃圾分类标志》（GB/T19095-2019），标识工艺为丝网印刷技术，长期使用后标志无明显褪色。箱门内侧丝印出厂年月（例：出厂日期：2025年7月）。</w:t>
            </w:r>
          </w:p>
          <w:p>
            <w:pPr>
              <w:pStyle w:val="null3"/>
              <w:ind w:firstLine="400"/>
              <w:jc w:val="both"/>
            </w:pPr>
            <w:r>
              <w:rPr>
                <w:rFonts w:ascii="仿宋_GB2312" w:hAnsi="仿宋_GB2312" w:cs="仿宋_GB2312" w:eastAsia="仿宋_GB2312"/>
                <w:sz w:val="20"/>
              </w:rPr>
              <w:t>10.人行道边为绿化草坪的应安装在绿化内，减少对行人通行的影响，安装时基础采用混凝土浇筑或预制石材底座基础，施工过程保证点位周边环境整洁，做到随施工随清理，确保安装整齐、规范、稳固。</w:t>
            </w:r>
          </w:p>
          <w:p>
            <w:pPr>
              <w:pStyle w:val="null3"/>
              <w:ind w:firstLine="400"/>
              <w:jc w:val="both"/>
            </w:pPr>
            <w:r>
              <w:rPr>
                <w:rFonts w:ascii="仿宋_GB2312" w:hAnsi="仿宋_GB2312" w:cs="仿宋_GB2312" w:eastAsia="仿宋_GB2312"/>
                <w:sz w:val="20"/>
              </w:rPr>
              <w:t>11.果皮箱的设置应在交叉路口距离切点15m外或距人行横道外边线2-6m处开始布设，位置应距离人行道路沿石外侧0.3m，与其他城市家具间距不小于0.6米；商业、文化、金融、服务业街道等人流密度大的地区，果皮箱布设间隔宜不小于80m，主要交通道路布设间隔宜不小于100m，其他道路布设间隔宜不小于150m，可根据地块出入口适当调整；每个公共交通站点应布设1个果皮箱，与公交设施间距宜为2-6m。</w:t>
            </w:r>
          </w:p>
          <w:p>
            <w:pPr>
              <w:pStyle w:val="null3"/>
              <w:ind w:firstLine="400"/>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安装时基础采用</w:t>
            </w:r>
            <w:r>
              <w:rPr>
                <w:rFonts w:ascii="仿宋_GB2312" w:hAnsi="仿宋_GB2312" w:cs="仿宋_GB2312" w:eastAsia="仿宋_GB2312"/>
                <w:sz w:val="20"/>
                <w:color w:val="000000"/>
              </w:rPr>
              <w:t>20*20cm预制混凝土底座基础，现埋现安装现场清理垃圾。</w:t>
            </w:r>
          </w:p>
          <w:p>
            <w:pPr>
              <w:pStyle w:val="null3"/>
              <w:ind w:firstLine="400"/>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.包含材料、维修、安装、运输及税费等一切费用。</w:t>
            </w:r>
          </w:p>
          <w:p>
            <w:pPr>
              <w:pStyle w:val="null3"/>
              <w:ind w:firstLine="400"/>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服务响应时间：在服务期内接到维修通知后</w:t>
            </w:r>
            <w:r>
              <w:rPr>
                <w:rFonts w:ascii="仿宋_GB2312" w:hAnsi="仿宋_GB2312" w:cs="仿宋_GB2312" w:eastAsia="仿宋_GB2312"/>
                <w:sz w:val="20"/>
                <w:color w:val="000000"/>
              </w:rPr>
              <w:t>30分钟作出明确答复，并予以安排解决，</w:t>
            </w:r>
            <w:r>
              <w:rPr>
                <w:rFonts w:ascii="仿宋_GB2312" w:hAnsi="仿宋_GB2312" w:cs="仿宋_GB2312" w:eastAsia="仿宋_GB2312"/>
                <w:sz w:val="20"/>
                <w:color w:val="000000"/>
              </w:rPr>
              <w:t>1</w:t>
            </w:r>
            <w:r>
              <w:rPr>
                <w:rFonts w:ascii="仿宋_GB2312" w:hAnsi="仿宋_GB2312" w:cs="仿宋_GB2312" w:eastAsia="仿宋_GB2312"/>
                <w:sz w:val="20"/>
                <w:color w:val="000000"/>
              </w:rPr>
              <w:t>小时赶到现场维修。</w:t>
            </w:r>
          </w:p>
          <w:p>
            <w:pPr>
              <w:pStyle w:val="null3"/>
              <w:ind w:firstLine="400"/>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全区果</w:t>
            </w:r>
            <w:r>
              <w:rPr>
                <w:rFonts w:ascii="仿宋_GB2312" w:hAnsi="仿宋_GB2312" w:cs="仿宋_GB2312" w:eastAsia="仿宋_GB2312"/>
                <w:sz w:val="20"/>
                <w:color w:val="000000"/>
              </w:rPr>
              <w:t>皮箱</w:t>
            </w:r>
            <w:r>
              <w:rPr>
                <w:rFonts w:ascii="仿宋_GB2312" w:hAnsi="仿宋_GB2312" w:cs="仿宋_GB2312" w:eastAsia="仿宋_GB2312"/>
                <w:sz w:val="20"/>
                <w:color w:val="000000"/>
              </w:rPr>
              <w:t>巡查工作：在服务期内每日安排专业维修人员对全区果皮箱进行巡查工作，对发现的问题及时维修。</w:t>
            </w:r>
          </w:p>
          <w:p>
            <w:pPr>
              <w:pStyle w:val="null3"/>
              <w:ind w:firstLine="400"/>
              <w:jc w:val="both"/>
            </w:pP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维修时限要求：在接到维修指令后应在</w:t>
            </w:r>
            <w:r>
              <w:rPr>
                <w:rFonts w:ascii="仿宋_GB2312" w:hAnsi="仿宋_GB2312" w:cs="仿宋_GB2312" w:eastAsia="仿宋_GB2312"/>
                <w:sz w:val="20"/>
                <w:color w:val="000000"/>
              </w:rPr>
              <w:t>24小时内按时、按质、按需完成维修。</w:t>
            </w:r>
          </w:p>
          <w:p>
            <w:pPr>
              <w:pStyle w:val="null3"/>
              <w:ind w:firstLine="400"/>
              <w:jc w:val="both"/>
            </w:pPr>
            <w:r>
              <w:rPr>
                <w:rFonts w:ascii="仿宋_GB2312" w:hAnsi="仿宋_GB2312" w:cs="仿宋_GB2312" w:eastAsia="仿宋_GB2312"/>
                <w:sz w:val="20"/>
                <w:color w:val="000000"/>
              </w:rPr>
              <w:t>二、计划维修清单</w:t>
            </w:r>
            <w:r>
              <w:rPr>
                <w:rFonts w:ascii="仿宋_GB2312" w:hAnsi="仿宋_GB2312" w:cs="仿宋_GB2312" w:eastAsia="仿宋_GB2312"/>
                <w:sz w:val="20"/>
                <w:color w:val="000000"/>
              </w:rPr>
              <w:t>（</w:t>
            </w:r>
            <w:r>
              <w:rPr>
                <w:rFonts w:ascii="仿宋_GB2312" w:hAnsi="仿宋_GB2312" w:cs="仿宋_GB2312" w:eastAsia="仿宋_GB2312"/>
                <w:sz w:val="20"/>
                <w:color w:val="000000"/>
              </w:rPr>
              <w:t>本采购项目报价采用全费用综合单价模式，</w:t>
            </w:r>
            <w:r>
              <w:rPr>
                <w:rFonts w:ascii="仿宋_GB2312" w:hAnsi="仿宋_GB2312" w:cs="仿宋_GB2312" w:eastAsia="仿宋_GB2312"/>
                <w:sz w:val="20"/>
                <w:color w:val="000000"/>
              </w:rPr>
              <w:t>供应商所报全费用综合单价不得超过全费用综合单价限价</w:t>
            </w:r>
            <w:r>
              <w:rPr>
                <w:rFonts w:ascii="仿宋_GB2312" w:hAnsi="仿宋_GB2312" w:cs="仿宋_GB2312" w:eastAsia="仿宋_GB2312"/>
                <w:sz w:val="20"/>
                <w:color w:val="000000"/>
              </w:rPr>
              <w:t>,否则按无效标处理。</w:t>
            </w:r>
            <w:r>
              <w:rPr>
                <w:rFonts w:ascii="仿宋_GB2312" w:hAnsi="仿宋_GB2312" w:cs="仿宋_GB2312" w:eastAsia="仿宋_GB2312"/>
                <w:sz w:val="20"/>
                <w:color w:val="000000"/>
              </w:rPr>
              <w:t>）</w:t>
            </w:r>
          </w:p>
          <w:tbl>
            <w:tblPr>
              <w:tblBorders>
                <w:top w:val="none" w:color="000000" w:sz="4"/>
                <w:left w:val="none" w:color="000000" w:sz="4"/>
                <w:bottom w:val="none" w:color="000000" w:sz="4"/>
                <w:right w:val="none" w:color="000000" w:sz="4"/>
                <w:insideH w:val="none"/>
                <w:insideV w:val="none"/>
              </w:tblBorders>
            </w:tblPr>
            <w:tblGrid>
              <w:gridCol w:w="246"/>
              <w:gridCol w:w="757"/>
              <w:gridCol w:w="516"/>
              <w:gridCol w:w="776"/>
              <w:gridCol w:w="246"/>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明细</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件数</w:t>
                  </w: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全费用综合单价限价</w:t>
                  </w:r>
                  <w:r>
                    <w:rPr>
                      <w:rFonts w:ascii="仿宋_GB2312" w:hAnsi="仿宋_GB2312" w:cs="仿宋_GB2312" w:eastAsia="仿宋_GB2312"/>
                      <w:sz w:val="20"/>
                      <w:color w:val="000000"/>
                    </w:rPr>
                    <w:t>(元)</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表面全部更新处理</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维修更换箱门</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维修更换上盖</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维修更换箱体</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维修更换不锈钢合页</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维修更换固定地板</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每片</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更换内桶（</w:t>
                  </w:r>
                  <w:r>
                    <w:rPr>
                      <w:rFonts w:ascii="仿宋_GB2312" w:hAnsi="仿宋_GB2312" w:cs="仿宋_GB2312" w:eastAsia="仿宋_GB2312"/>
                      <w:sz w:val="20"/>
                      <w:color w:val="000000"/>
                    </w:rPr>
                    <w:t>0.3厚）</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表面补漆、维修</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维修更换立柱</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每根</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更换维修箱锁</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每件</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坡口板维修更换</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每片</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预埋块</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拆移安装数量</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每只</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125</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工具箱表面塑木更换</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每根（</w:t>
                  </w:r>
                  <w:r>
                    <w:rPr>
                      <w:rFonts w:ascii="仿宋_GB2312" w:hAnsi="仿宋_GB2312" w:cs="仿宋_GB2312" w:eastAsia="仿宋_GB2312"/>
                      <w:sz w:val="20"/>
                      <w:color w:val="000000"/>
                    </w:rPr>
                    <w:t>1.8m</w:t>
                  </w:r>
                  <w:r>
                    <w:rPr>
                      <w:rFonts w:ascii="仿宋_GB2312" w:hAnsi="仿宋_GB2312" w:cs="仿宋_GB2312" w:eastAsia="仿宋_GB2312"/>
                      <w:sz w:val="20"/>
                      <w:color w:val="000000"/>
                    </w:rPr>
                    <w:t>）</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0"/>
                <w:color w:val="000000"/>
              </w:rPr>
              <w:t>三、</w:t>
            </w:r>
            <w:r>
              <w:rPr>
                <w:rFonts w:ascii="仿宋_GB2312" w:hAnsi="仿宋_GB2312" w:cs="仿宋_GB2312" w:eastAsia="仿宋_GB2312"/>
                <w:sz w:val="20"/>
                <w:color w:val="000000"/>
              </w:rPr>
              <w:t>结算：</w:t>
            </w:r>
          </w:p>
          <w:p>
            <w:pPr>
              <w:pStyle w:val="null3"/>
              <w:ind w:firstLine="400"/>
              <w:jc w:val="both"/>
            </w:pPr>
            <w:r>
              <w:rPr>
                <w:rFonts w:ascii="仿宋_GB2312" w:hAnsi="仿宋_GB2312" w:cs="仿宋_GB2312" w:eastAsia="仿宋_GB2312"/>
                <w:sz w:val="20"/>
                <w:color w:val="000000"/>
              </w:rPr>
              <w:t>按实结算，根据供应商</w:t>
            </w:r>
            <w:r>
              <w:rPr>
                <w:rFonts w:ascii="仿宋_GB2312" w:hAnsi="仿宋_GB2312" w:cs="仿宋_GB2312" w:eastAsia="仿宋_GB2312"/>
                <w:sz w:val="20"/>
                <w:color w:val="000000"/>
              </w:rPr>
              <w:t>成交</w:t>
            </w:r>
            <w:r>
              <w:rPr>
                <w:rFonts w:ascii="仿宋_GB2312" w:hAnsi="仿宋_GB2312" w:cs="仿宋_GB2312" w:eastAsia="仿宋_GB2312"/>
                <w:sz w:val="20"/>
                <w:color w:val="000000"/>
              </w:rPr>
              <w:t>单价乘以实际发生</w:t>
            </w:r>
            <w:r>
              <w:rPr>
                <w:rFonts w:ascii="仿宋_GB2312" w:hAnsi="仿宋_GB2312" w:cs="仿宋_GB2312" w:eastAsia="仿宋_GB2312"/>
                <w:sz w:val="20"/>
                <w:color w:val="000000"/>
              </w:rPr>
              <w:t>量</w:t>
            </w:r>
            <w:r>
              <w:rPr>
                <w:rFonts w:ascii="仿宋_GB2312" w:hAnsi="仿宋_GB2312" w:cs="仿宋_GB2312" w:eastAsia="仿宋_GB2312"/>
                <w:sz w:val="20"/>
                <w:color w:val="000000"/>
              </w:rPr>
              <w:t>按实结算。当结算金额高于采购预算时，相关服务自动终止。</w:t>
            </w:r>
            <w:r>
              <w:rPr>
                <w:rFonts w:ascii="仿宋_GB2312" w:hAnsi="仿宋_GB2312" w:cs="仿宋_GB2312" w:eastAsia="仿宋_GB2312"/>
                <w:sz w:val="20"/>
                <w:color w:val="000000"/>
              </w:rPr>
              <w:t>（</w:t>
            </w:r>
            <w:r>
              <w:rPr>
                <w:rFonts w:ascii="仿宋_GB2312" w:hAnsi="仿宋_GB2312" w:cs="仿宋_GB2312" w:eastAsia="仿宋_GB2312"/>
                <w:sz w:val="20"/>
                <w:color w:val="000000"/>
              </w:rPr>
              <w:t>最终</w:t>
            </w:r>
            <w:r>
              <w:rPr>
                <w:rFonts w:ascii="仿宋_GB2312" w:hAnsi="仿宋_GB2312" w:cs="仿宋_GB2312" w:eastAsia="仿宋_GB2312"/>
                <w:sz w:val="20"/>
                <w:color w:val="000000"/>
              </w:rPr>
              <w:t>单价按照</w:t>
            </w:r>
            <w:r>
              <w:rPr>
                <w:rFonts w:ascii="仿宋_GB2312" w:hAnsi="仿宋_GB2312" w:cs="仿宋_GB2312" w:eastAsia="仿宋_GB2312"/>
                <w:sz w:val="20"/>
                <w:color w:val="000000"/>
              </w:rPr>
              <w:t>第一次磋商报价和第二</w:t>
            </w:r>
            <w:r>
              <w:rPr>
                <w:rFonts w:ascii="仿宋_GB2312" w:hAnsi="仿宋_GB2312" w:cs="仿宋_GB2312" w:eastAsia="仿宋_GB2312"/>
                <w:sz w:val="20"/>
                <w:color w:val="000000"/>
              </w:rPr>
              <w:t>次磋商报价同比例下浮。</w:t>
            </w:r>
            <w:r>
              <w:rPr>
                <w:rFonts w:ascii="仿宋_GB2312" w:hAnsi="仿宋_GB2312" w:cs="仿宋_GB2312" w:eastAsia="仿宋_GB2312"/>
                <w:sz w:val="20"/>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详见上述服务要求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西安市高新区范围内，具体地点以采购人要求为准。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每半年支付一次,当达到付款节点时，经采购人验收合格后,按照维修清单量据实结算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每半年支付一次,当达到付款节点时，经采购人验收合格后,按照维修清单量据实结算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按照磋商文件及采购合同约定执行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法定代表人直接参与磋商的，须在响应文件中提供法定代表人身份证明；法定代表人授权代表参与磋商的，须在响应文件中提供法定代表人授权委托书（授权代表必须为本单位在职员工）。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内容至少包括①项目实施进度目标分析；②项目进度保障措施；③突发情况的应急方案等。 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内容至少包括①质量安全保障方案；②质量安全目标；③质量安全控制措施等。以上内容专门针对本项目且符合本项目实际需求 的得15分，每缺一项内容扣5分， 若上述内容存在瑕疵，每出现一处瑕疵扣1分，扣完为止。“瑕疵”指内容明显错误，或内容不完整或缺少关键点，或不适用本项目特性、套用其他项目内容或内容不能满足 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内容至少包括①设施设备配置清单；②设施设备维修保障方案；③设备配置应急预案等。以上内容专门针对本项目且符合本项目实际需求的得15分，每缺一项内容扣5分，若上述内容存在瑕疵，每出现一处瑕疵扣1分，扣完为止。“瑕疵”指内容明显错误，或内容不完整或缺少关键点，或不适用本项目特性、套用其他项目内容 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内容至少包括①积极配合采购人服务要求；②廉洁从业的承诺；③未能完全履行承诺时愿意接受相关处罚的承诺；④服务期限承诺等。 以上内容专门针对本项目且符合本项目实际需求的得10分，每缺一项内容扣2.5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供应商具有2022年12月1日至今（以合同签订时间为准）类似项目业绩，响应文件中提供合同复印件加盖供应商公章，每提供一个得2分，最高得10分。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