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6DE66032">
      <w:pPr>
        <w:keepNext w:val="0"/>
        <w:keepLines w:val="0"/>
        <w:pageBreakBefore w:val="0"/>
        <w:kinsoku/>
        <w:wordWrap/>
        <w:overflowPunct/>
        <w:topLinePunct w:val="0"/>
        <w:autoSpaceDE w:val="0"/>
        <w:autoSpaceDN w:val="0"/>
        <w:bidi w:val="0"/>
        <w:adjustRightInd w:val="0"/>
        <w:spacing w:line="360" w:lineRule="auto"/>
        <w:ind w:firstLine="640" w:firstLineChars="200"/>
        <w:jc w:val="both"/>
        <w:textAlignment w:val="auto"/>
        <w:rPr>
          <w:rFonts w:hint="eastAsia" w:ascii="仿宋_GB2312" w:hAnsi="仿宋" w:eastAsia="仿宋_GB2312"/>
          <w:bCs/>
          <w:sz w:val="32"/>
          <w:szCs w:val="32"/>
        </w:rPr>
      </w:pPr>
    </w:p>
    <w:p w14:paraId="401FA3F9">
      <w:pPr>
        <w:adjustRightInd w:val="0"/>
        <w:snapToGrid w:val="0"/>
        <w:spacing w:line="360" w:lineRule="auto"/>
        <w:ind w:firstLine="420" w:firstLineChars="200"/>
        <w:rPr>
          <w:rFonts w:hint="eastAsia" w:ascii="仿宋_GB2312" w:hAnsi="仿宋_GB2312" w:eastAsia="仿宋_GB2312" w:cs="仿宋_GB2312"/>
          <w:bCs/>
          <w:sz w:val="24"/>
          <w:szCs w:val="24"/>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bCs/>
          <w:sz w:val="24"/>
          <w:szCs w:val="24"/>
        </w:rPr>
        <w:t>采购人（以下简称甲方）：</w:t>
      </w:r>
    </w:p>
    <w:p w14:paraId="342F096D">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供应商（以下简称乙方）：</w:t>
      </w:r>
    </w:p>
    <w:p w14:paraId="6D2D00CA">
      <w:pPr>
        <w:adjustRightInd w:val="0"/>
        <w:snapToGrid w:val="0"/>
        <w:spacing w:line="360" w:lineRule="auto"/>
        <w:ind w:firstLine="480" w:firstLineChars="200"/>
        <w:rPr>
          <w:rFonts w:hint="eastAsia" w:ascii="仿宋_GB2312" w:hAnsi="仿宋_GB2312" w:eastAsia="仿宋_GB2312" w:cs="仿宋_GB2312"/>
          <w:bCs/>
          <w:sz w:val="24"/>
          <w:szCs w:val="24"/>
        </w:rPr>
      </w:pPr>
    </w:p>
    <w:p w14:paraId="57B7B659">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根据《中华人民共和国民法典》、《中华人民共和国政府采购法》和《中华人民共和国建筑法》及其它有关法律、行政法规，为明确双方在施工过程中的权利、义务，经双方协商自愿签订本合同。</w:t>
      </w:r>
    </w:p>
    <w:p w14:paraId="697BEF6D">
      <w:pPr>
        <w:adjustRightInd w:val="0"/>
        <w:snapToGrid w:val="0"/>
        <w:spacing w:line="360" w:lineRule="auto"/>
        <w:ind w:firstLine="482" w:firstLineChars="200"/>
        <w:rPr>
          <w:rFonts w:hint="eastAsia" w:ascii="仿宋_GB2312" w:hAnsi="仿宋_GB2312" w:eastAsia="仿宋_GB2312" w:cs="仿宋_GB2312"/>
          <w:bCs/>
          <w:sz w:val="24"/>
          <w:szCs w:val="24"/>
        </w:rPr>
      </w:pPr>
      <w:r>
        <w:rPr>
          <w:rFonts w:hint="eastAsia" w:ascii="仿宋_GB2312" w:hAnsi="仿宋_GB2312" w:eastAsia="仿宋_GB2312" w:cs="仿宋_GB2312"/>
          <w:b/>
          <w:sz w:val="24"/>
          <w:szCs w:val="24"/>
        </w:rPr>
        <w:t>第一条  工程项目</w:t>
      </w:r>
    </w:p>
    <w:p w14:paraId="06403BB6">
      <w:pPr>
        <w:adjustRightInd w:val="0"/>
        <w:snapToGrid w:val="0"/>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bCs/>
          <w:sz w:val="24"/>
          <w:szCs w:val="24"/>
        </w:rPr>
        <w:t>一、项目名称：地面瓷砖维修项目</w:t>
      </w:r>
      <w:r>
        <w:rPr>
          <w:rFonts w:hint="eastAsia" w:ascii="仿宋_GB2312" w:hAnsi="仿宋_GB2312" w:eastAsia="仿宋_GB2312" w:cs="仿宋_GB2312"/>
          <w:bCs/>
          <w:sz w:val="24"/>
          <w:szCs w:val="24"/>
          <w:lang w:eastAsia="zh-CN"/>
        </w:rPr>
        <w:t>。</w:t>
      </w:r>
    </w:p>
    <w:p w14:paraId="715E7B1E">
      <w:pPr>
        <w:adjustRightInd w:val="0"/>
        <w:snapToGrid w:val="0"/>
        <w:spacing w:line="360" w:lineRule="auto"/>
        <w:ind w:firstLine="480" w:firstLineChars="200"/>
        <w:rPr>
          <w:rFonts w:hint="eastAsia" w:ascii="仿宋_GB2312" w:hAnsi="仿宋_GB2312" w:eastAsia="仿宋_GB2312" w:cs="仿宋_GB2312"/>
          <w:bCs/>
          <w:sz w:val="24"/>
          <w:szCs w:val="24"/>
          <w:u w:val="single"/>
          <w:lang w:val="en-US" w:eastAsia="zh-CN"/>
        </w:rPr>
      </w:pPr>
      <w:r>
        <w:rPr>
          <w:rFonts w:hint="eastAsia" w:ascii="仿宋_GB2312" w:hAnsi="仿宋_GB2312" w:eastAsia="仿宋_GB2312" w:cs="仿宋_GB2312"/>
          <w:bCs/>
          <w:sz w:val="24"/>
          <w:szCs w:val="24"/>
        </w:rPr>
        <w:t>二、工程地点：西安市高新区丈八六路金盾大厦</w:t>
      </w:r>
      <w:r>
        <w:rPr>
          <w:rFonts w:hint="eastAsia" w:ascii="仿宋_GB2312" w:hAnsi="仿宋_GB2312" w:eastAsia="仿宋_GB2312" w:cs="仿宋_GB2312"/>
          <w:bCs/>
          <w:sz w:val="24"/>
          <w:szCs w:val="24"/>
          <w:lang w:val="en-US" w:eastAsia="zh-CN"/>
        </w:rPr>
        <w:t>。</w:t>
      </w:r>
    </w:p>
    <w:p w14:paraId="27973C15">
      <w:pPr>
        <w:adjustRightInd w:val="0"/>
        <w:snapToGrid w:val="0"/>
        <w:spacing w:line="360" w:lineRule="auto"/>
        <w:ind w:firstLine="480" w:firstLineChars="200"/>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bCs/>
          <w:sz w:val="24"/>
          <w:szCs w:val="24"/>
        </w:rPr>
        <w:t>三、</w:t>
      </w:r>
      <w:r>
        <w:rPr>
          <w:rFonts w:hint="eastAsia" w:ascii="仿宋_GB2312" w:hAnsi="仿宋_GB2312" w:eastAsia="仿宋_GB2312" w:cs="仿宋_GB2312"/>
          <w:bCs/>
          <w:sz w:val="24"/>
          <w:szCs w:val="24"/>
          <w:lang w:val="en-US" w:eastAsia="zh-CN"/>
        </w:rPr>
        <w:t>工程</w:t>
      </w:r>
      <w:r>
        <w:rPr>
          <w:rFonts w:hint="eastAsia" w:ascii="仿宋_GB2312" w:hAnsi="仿宋_GB2312" w:eastAsia="仿宋_GB2312" w:cs="仿宋_GB2312"/>
          <w:bCs/>
          <w:sz w:val="24"/>
          <w:szCs w:val="24"/>
        </w:rPr>
        <w:t>内容：</w:t>
      </w:r>
      <w:r>
        <w:rPr>
          <w:rFonts w:hint="eastAsia" w:ascii="仿宋_GB2312" w:hAnsi="仿宋_GB2312" w:eastAsia="仿宋_GB2312" w:cs="仿宋_GB2312"/>
          <w:bCs/>
          <w:sz w:val="24"/>
          <w:szCs w:val="24"/>
          <w:u w:val="single"/>
          <w:lang w:val="en-US" w:eastAsia="zh-CN"/>
        </w:rPr>
        <w:t xml:space="preserve">                          </w:t>
      </w:r>
    </w:p>
    <w:p w14:paraId="174E98C4">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第二条  施工依据</w:t>
      </w:r>
    </w:p>
    <w:p w14:paraId="2C1AAAE2">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shd w:val="clear" w:color="auto" w:fill="FFFFFF"/>
          <w:lang w:val="en-US" w:eastAsia="zh-CN"/>
        </w:rPr>
        <w:t>一、</w:t>
      </w:r>
      <w:r>
        <w:rPr>
          <w:rFonts w:hint="eastAsia" w:ascii="仿宋_GB2312" w:hAnsi="仿宋_GB2312" w:eastAsia="仿宋_GB2312" w:cs="仿宋_GB2312"/>
          <w:sz w:val="24"/>
          <w:szCs w:val="24"/>
          <w:shd w:val="clear" w:color="auto" w:fill="FFFFFF"/>
        </w:rPr>
        <w:t>施工合同</w:t>
      </w:r>
      <w:r>
        <w:rPr>
          <w:rFonts w:hint="eastAsia" w:ascii="仿宋_GB2312" w:hAnsi="仿宋_GB2312" w:eastAsia="仿宋_GB2312" w:cs="仿宋_GB2312"/>
          <w:sz w:val="24"/>
          <w:szCs w:val="24"/>
          <w:shd w:val="clear" w:color="auto" w:fill="FFFFFF"/>
          <w:lang w:eastAsia="zh-CN"/>
        </w:rPr>
        <w:t>。</w:t>
      </w:r>
    </w:p>
    <w:p w14:paraId="20A9D54A">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shd w:val="clear" w:color="auto" w:fill="FFFFFF"/>
          <w:lang w:val="en-US" w:eastAsia="zh-CN"/>
        </w:rPr>
        <w:t>二、</w:t>
      </w:r>
      <w:r>
        <w:rPr>
          <w:rFonts w:hint="eastAsia" w:ascii="仿宋_GB2312" w:hAnsi="仿宋_GB2312" w:eastAsia="仿宋_GB2312" w:cs="仿宋_GB2312"/>
          <w:sz w:val="24"/>
          <w:szCs w:val="24"/>
          <w:shd w:val="clear" w:color="auto" w:fill="FFFFFF"/>
        </w:rPr>
        <w:t>成交通知书</w:t>
      </w:r>
      <w:r>
        <w:rPr>
          <w:rFonts w:hint="eastAsia" w:ascii="仿宋_GB2312" w:hAnsi="仿宋_GB2312" w:eastAsia="仿宋_GB2312" w:cs="仿宋_GB2312"/>
          <w:sz w:val="24"/>
          <w:szCs w:val="24"/>
          <w:shd w:val="clear" w:color="auto" w:fill="FFFFFF"/>
          <w:lang w:eastAsia="zh-CN"/>
        </w:rPr>
        <w:t>。</w:t>
      </w:r>
    </w:p>
    <w:p w14:paraId="0B2A64BF">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shd w:val="clear" w:color="auto" w:fill="FFFFFF"/>
          <w:lang w:val="en-US" w:eastAsia="zh-CN"/>
        </w:rPr>
        <w:t>三、</w:t>
      </w:r>
      <w:r>
        <w:rPr>
          <w:rFonts w:hint="eastAsia" w:ascii="仿宋_GB2312" w:hAnsi="仿宋_GB2312" w:eastAsia="仿宋_GB2312" w:cs="仿宋_GB2312"/>
          <w:sz w:val="24"/>
          <w:szCs w:val="24"/>
          <w:shd w:val="clear" w:color="auto" w:fill="FFFFFF"/>
        </w:rPr>
        <w:t>响应文件及其附件</w:t>
      </w:r>
      <w:r>
        <w:rPr>
          <w:rFonts w:hint="eastAsia" w:ascii="仿宋_GB2312" w:hAnsi="仿宋_GB2312" w:eastAsia="仿宋_GB2312" w:cs="仿宋_GB2312"/>
          <w:sz w:val="24"/>
          <w:szCs w:val="24"/>
          <w:shd w:val="clear" w:color="auto" w:fill="FFFFFF"/>
          <w:lang w:eastAsia="zh-CN"/>
        </w:rPr>
        <w:t>。</w:t>
      </w:r>
    </w:p>
    <w:p w14:paraId="602B096E">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val="en-US" w:eastAsia="zh-CN"/>
        </w:rPr>
        <w:t>四、</w:t>
      </w:r>
      <w:r>
        <w:rPr>
          <w:rFonts w:hint="eastAsia" w:ascii="仿宋_GB2312" w:hAnsi="仿宋_GB2312" w:eastAsia="仿宋_GB2312" w:cs="仿宋_GB2312"/>
          <w:sz w:val="24"/>
          <w:szCs w:val="24"/>
          <w:shd w:val="clear" w:color="auto" w:fill="FFFFFF"/>
        </w:rPr>
        <w:t>标准、规范及有关技术文件</w:t>
      </w:r>
      <w:r>
        <w:rPr>
          <w:rFonts w:hint="eastAsia" w:ascii="仿宋_GB2312" w:hAnsi="仿宋_GB2312" w:eastAsia="仿宋_GB2312" w:cs="仿宋_GB2312"/>
          <w:sz w:val="24"/>
          <w:szCs w:val="24"/>
          <w:shd w:val="clear" w:color="auto" w:fill="FFFFFF"/>
          <w:lang w:eastAsia="zh-CN"/>
        </w:rPr>
        <w:t>。</w:t>
      </w:r>
    </w:p>
    <w:p w14:paraId="0F94C018">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val="en-US" w:eastAsia="zh-CN"/>
        </w:rPr>
        <w:t>五、</w:t>
      </w:r>
      <w:r>
        <w:rPr>
          <w:rFonts w:hint="eastAsia" w:ascii="仿宋_GB2312" w:hAnsi="仿宋_GB2312" w:eastAsia="仿宋_GB2312" w:cs="仿宋_GB2312"/>
          <w:sz w:val="24"/>
          <w:szCs w:val="24"/>
          <w:shd w:val="clear" w:color="auto" w:fill="FFFFFF"/>
        </w:rPr>
        <w:t>图纸（若有）</w:t>
      </w:r>
      <w:r>
        <w:rPr>
          <w:rFonts w:hint="eastAsia" w:ascii="仿宋_GB2312" w:hAnsi="仿宋_GB2312" w:eastAsia="仿宋_GB2312" w:cs="仿宋_GB2312"/>
          <w:sz w:val="24"/>
          <w:szCs w:val="24"/>
          <w:shd w:val="clear" w:color="auto" w:fill="FFFFFF"/>
          <w:lang w:eastAsia="zh-CN"/>
        </w:rPr>
        <w:t>。</w:t>
      </w:r>
    </w:p>
    <w:p w14:paraId="23B27840">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val="en-US" w:eastAsia="zh-CN"/>
        </w:rPr>
        <w:t>六、</w:t>
      </w:r>
      <w:r>
        <w:rPr>
          <w:rFonts w:hint="eastAsia" w:ascii="仿宋_GB2312" w:hAnsi="仿宋_GB2312" w:eastAsia="仿宋_GB2312" w:cs="仿宋_GB2312"/>
          <w:sz w:val="24"/>
          <w:szCs w:val="24"/>
          <w:shd w:val="clear" w:color="auto" w:fill="FFFFFF"/>
        </w:rPr>
        <w:t>工程量清单</w:t>
      </w:r>
      <w:r>
        <w:rPr>
          <w:rFonts w:hint="eastAsia" w:ascii="仿宋_GB2312" w:hAnsi="仿宋_GB2312" w:eastAsia="仿宋_GB2312" w:cs="仿宋_GB2312"/>
          <w:sz w:val="24"/>
          <w:szCs w:val="24"/>
          <w:shd w:val="clear" w:color="auto" w:fill="FFFFFF"/>
          <w:lang w:eastAsia="zh-CN"/>
        </w:rPr>
        <w:t>。</w:t>
      </w:r>
    </w:p>
    <w:p w14:paraId="70CE281E">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sz w:val="24"/>
          <w:szCs w:val="24"/>
          <w:shd w:val="clear" w:color="auto" w:fill="FFFFFF"/>
          <w:lang w:eastAsia="zh-CN"/>
        </w:rPr>
      </w:pPr>
      <w:r>
        <w:rPr>
          <w:rFonts w:hint="eastAsia" w:ascii="仿宋_GB2312" w:hAnsi="仿宋_GB2312" w:eastAsia="仿宋_GB2312" w:cs="仿宋_GB2312"/>
          <w:sz w:val="24"/>
          <w:szCs w:val="24"/>
          <w:shd w:val="clear" w:color="auto" w:fill="FFFFFF"/>
          <w:lang w:val="en-US" w:eastAsia="zh-CN"/>
        </w:rPr>
        <w:t>七、</w:t>
      </w:r>
      <w:r>
        <w:rPr>
          <w:rFonts w:hint="eastAsia" w:ascii="仿宋_GB2312" w:hAnsi="仿宋_GB2312" w:eastAsia="仿宋_GB2312" w:cs="仿宋_GB2312"/>
          <w:sz w:val="24"/>
          <w:szCs w:val="24"/>
          <w:shd w:val="clear" w:color="auto" w:fill="FFFFFF"/>
        </w:rPr>
        <w:t>工程量清单报价</w:t>
      </w:r>
      <w:r>
        <w:rPr>
          <w:rFonts w:hint="eastAsia" w:ascii="仿宋_GB2312" w:hAnsi="仿宋_GB2312" w:eastAsia="仿宋_GB2312" w:cs="仿宋_GB2312"/>
          <w:sz w:val="24"/>
          <w:szCs w:val="24"/>
          <w:shd w:val="clear" w:color="auto" w:fill="FFFFFF"/>
          <w:lang w:eastAsia="zh-CN"/>
        </w:rPr>
        <w:t>。</w:t>
      </w:r>
    </w:p>
    <w:p w14:paraId="52021D9E">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shd w:val="clear" w:color="auto" w:fill="FFFFFF"/>
          <w:lang w:val="en-US" w:eastAsia="zh-CN"/>
        </w:rPr>
        <w:t>八、</w:t>
      </w:r>
      <w:r>
        <w:rPr>
          <w:rFonts w:hint="eastAsia" w:ascii="仿宋_GB2312" w:hAnsi="仿宋_GB2312" w:eastAsia="仿宋_GB2312" w:cs="仿宋_GB2312"/>
          <w:sz w:val="24"/>
          <w:szCs w:val="24"/>
          <w:shd w:val="clear" w:color="auto" w:fill="FFFFFF"/>
        </w:rPr>
        <w:t>双方有关工程的洽商、变更等书面协议或文件视为施工合同的组成部分。</w:t>
      </w:r>
    </w:p>
    <w:p w14:paraId="4369494D">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第三条  工程实施期限</w:t>
      </w:r>
    </w:p>
    <w:p w14:paraId="2FC714CE">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一、工期：自合同签订之日起60个日历天内施工完成。</w:t>
      </w:r>
      <w:r>
        <w:rPr>
          <w:rFonts w:hint="eastAsia" w:ascii="仿宋_GB2312" w:hAnsi="仿宋_GB2312" w:eastAsia="仿宋_GB2312" w:cs="仿宋_GB2312"/>
          <w:b w:val="0"/>
          <w:bCs/>
          <w:sz w:val="24"/>
          <w:szCs w:val="24"/>
          <w:lang w:val="en-US" w:eastAsia="zh-CN"/>
        </w:rPr>
        <w:t>。</w:t>
      </w:r>
    </w:p>
    <w:p w14:paraId="2E01F73C">
      <w:pPr>
        <w:pStyle w:val="13"/>
        <w:shd w:val="clear" w:color="auto" w:fill="FFFFFF"/>
        <w:wordWrap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二、如遇下列情况，经甲方现场代表签证后，工期可相应顺延（顺延工期应由甲、乙双方共同签字确认）。</w:t>
      </w:r>
    </w:p>
    <w:p w14:paraId="50A18F33">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在施工中如因停电、停水８小时以上或连续间歇性停水、停电３天以上（每次连续４小时以上），影响正常施工；停水停电2天以上</w:t>
      </w:r>
      <w:r>
        <w:rPr>
          <w:rFonts w:hint="eastAsia" w:ascii="仿宋_GB2312" w:hAnsi="仿宋_GB2312" w:eastAsia="仿宋_GB2312" w:cs="仿宋_GB2312"/>
          <w:bCs/>
          <w:sz w:val="24"/>
          <w:szCs w:val="24"/>
          <w:lang w:eastAsia="zh-CN"/>
        </w:rPr>
        <w:t>。</w:t>
      </w:r>
    </w:p>
    <w:p w14:paraId="4557E76B">
      <w:pPr>
        <w:tabs>
          <w:tab w:val="left" w:pos="509"/>
        </w:tabs>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二</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遇阴雨天及不可抗力因素以及非乙方施工因素影响</w:t>
      </w:r>
      <w:r>
        <w:rPr>
          <w:rFonts w:hint="eastAsia" w:ascii="仿宋_GB2312" w:hAnsi="仿宋_GB2312" w:eastAsia="仿宋_GB2312" w:cs="仿宋_GB2312"/>
          <w:bCs/>
          <w:sz w:val="24"/>
          <w:szCs w:val="24"/>
          <w:lang w:eastAsia="zh-CN"/>
        </w:rPr>
        <w:t>。</w:t>
      </w:r>
    </w:p>
    <w:p w14:paraId="12282C3D">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三</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因人力不可抗拒的其他因素而延误工期。</w:t>
      </w:r>
    </w:p>
    <w:p w14:paraId="5017943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三、因乙方原因造成施工延迟的，不得请求顺延工期。</w:t>
      </w:r>
    </w:p>
    <w:p w14:paraId="460F01D4">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第四条 合同价款</w:t>
      </w:r>
    </w:p>
    <w:p w14:paraId="3750E19D">
      <w:pPr>
        <w:pStyle w:val="4"/>
        <w:adjustRightInd w:val="0"/>
        <w:snapToGrid w:val="0"/>
        <w:spacing w:line="360" w:lineRule="auto"/>
        <w:ind w:firstLine="480" w:firstLineChars="200"/>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一、合同暂定价（成交金额）为</w:t>
      </w:r>
      <w:r>
        <w:rPr>
          <w:rFonts w:hint="eastAsia" w:ascii="仿宋_GB2312" w:hAnsi="仿宋_GB2312" w:eastAsia="仿宋_GB2312" w:cs="仿宋_GB2312"/>
          <w:kern w:val="0"/>
          <w:sz w:val="24"/>
          <w:szCs w:val="24"/>
          <w:lang w:val="en-US" w:eastAsia="zh-CN"/>
        </w:rPr>
        <w:t>¥</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元</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人民币</w:t>
      </w:r>
      <w:r>
        <w:rPr>
          <w:rFonts w:hint="eastAsia" w:ascii="仿宋_GB2312" w:hAnsi="仿宋_GB2312" w:eastAsia="仿宋_GB2312" w:cs="仿宋_GB2312"/>
          <w:kern w:val="0"/>
          <w:sz w:val="24"/>
          <w:szCs w:val="24"/>
          <w:lang w:eastAsia="zh-CN"/>
        </w:rPr>
        <w:t>）。</w:t>
      </w:r>
    </w:p>
    <w:p w14:paraId="5AC6D79E">
      <w:pPr>
        <w:pStyle w:val="4"/>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rPr>
        <w:t>二、本合同为固定综合单价合同，在施工过程中综合单价不予调整</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合同价款包括完成该工程项目的人工费、材料费、措施费、机械费、直接费、间接费、利润、税金、保险费、其它费用以及合同明示或暗示的所有风险、责任和义务等全部费用</w:t>
      </w:r>
      <w:r>
        <w:rPr>
          <w:rFonts w:hint="eastAsia" w:ascii="仿宋_GB2312" w:hAnsi="仿宋_GB2312" w:eastAsia="仿宋_GB2312" w:cs="仿宋_GB2312"/>
          <w:kern w:val="0"/>
          <w:sz w:val="24"/>
          <w:szCs w:val="24"/>
          <w:highlight w:val="none"/>
        </w:rPr>
        <w:t>。</w:t>
      </w:r>
    </w:p>
    <w:p w14:paraId="1D7DFFFD">
      <w:pPr>
        <w:pStyle w:val="4"/>
        <w:adjustRightInd w:val="0"/>
        <w:snapToGrid w:val="0"/>
        <w:spacing w:line="360" w:lineRule="auto"/>
        <w:ind w:firstLine="480" w:firstLineChars="200"/>
        <w:rPr>
          <w:rFonts w:hint="default"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三、合同单价按照成交确定的价格和合同中明确的工程范围，在工程实施过程中一次性包死，单价不予调整。除此之外的工程范围和工程量的变动部分在征得甲方同意后实行现场签证，依照投标报价增加或扣减，最终支付金额以实际发生的工程量为准。</w:t>
      </w:r>
    </w:p>
    <w:p w14:paraId="3D16F711">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 xml:space="preserve">第五条 </w:t>
      </w:r>
      <w:r>
        <w:rPr>
          <w:rFonts w:hint="eastAsia" w:ascii="仿宋_GB2312" w:hAnsi="仿宋_GB2312" w:eastAsia="仿宋_GB2312" w:cs="仿宋_GB2312"/>
          <w:b/>
          <w:sz w:val="24"/>
          <w:szCs w:val="24"/>
        </w:rPr>
        <w:t>付款方式</w:t>
      </w:r>
    </w:p>
    <w:p w14:paraId="2CB4B2BF">
      <w:pPr>
        <w:adjustRightInd w:val="0"/>
        <w:snapToGrid w:val="0"/>
        <w:spacing w:line="360" w:lineRule="auto"/>
        <w:ind w:firstLine="480" w:firstLineChars="200"/>
        <w:rPr>
          <w:rFonts w:hint="eastAsia"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一、款项支付</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lang w:val="en-US" w:eastAsia="zh-CN"/>
        </w:rPr>
        <w:t>完成项目施工任务的40%，经甲</w:t>
      </w:r>
      <w:r>
        <w:rPr>
          <w:rFonts w:hint="eastAsia" w:ascii="仿宋_GB2312" w:hAnsi="仿宋_GB2312" w:eastAsia="仿宋_GB2312" w:cs="仿宋_GB2312"/>
          <w:bCs/>
          <w:color w:val="auto"/>
          <w:sz w:val="24"/>
          <w:szCs w:val="24"/>
          <w:highlight w:val="none"/>
          <w:lang w:val="en-US" w:eastAsia="zh-CN"/>
        </w:rPr>
        <w:t>方审核后，支付合同金额的40%；项目结束并经甲方现场验收合格经审计后15日，支付至审计金额的100%</w:t>
      </w:r>
      <w:r>
        <w:rPr>
          <w:rFonts w:hint="eastAsia" w:ascii="仿宋_GB2312" w:hAnsi="仿宋_GB2312" w:eastAsia="仿宋_GB2312" w:cs="仿宋_GB2312"/>
          <w:bCs/>
          <w:color w:val="0000FF"/>
          <w:sz w:val="24"/>
          <w:szCs w:val="24"/>
          <w:highlight w:val="none"/>
          <w:lang w:val="en-US" w:eastAsia="zh-CN"/>
        </w:rPr>
        <w:t>.</w:t>
      </w:r>
    </w:p>
    <w:p w14:paraId="2A4DE251">
      <w:pPr>
        <w:adjustRightInd w:val="0"/>
        <w:snapToGrid w:val="0"/>
        <w:spacing w:line="360" w:lineRule="auto"/>
        <w:ind w:firstLine="480" w:firstLineChars="200"/>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二、结算方式：银行转账。</w:t>
      </w:r>
    </w:p>
    <w:p w14:paraId="4B1209FC">
      <w:pPr>
        <w:adjustRightInd w:val="0"/>
        <w:snapToGrid w:val="0"/>
        <w:spacing w:line="360" w:lineRule="auto"/>
        <w:ind w:firstLine="480" w:firstLineChars="200"/>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三、付款方式：乙方应按照要求办理完所有手续后完成工程款结算并办理支付。每次支付前，乙方应提供符合甲方要求的等额增值税发票，否则甲方有权拒绝付款并不承担任何责任。</w:t>
      </w:r>
    </w:p>
    <w:p w14:paraId="37D2D864">
      <w:pPr>
        <w:adjustRightInd w:val="0"/>
        <w:snapToGrid w:val="0"/>
        <w:spacing w:line="360" w:lineRule="auto"/>
        <w:ind w:firstLine="482" w:firstLine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第</w:t>
      </w:r>
      <w:r>
        <w:rPr>
          <w:rFonts w:hint="eastAsia" w:ascii="仿宋_GB2312" w:hAnsi="仿宋_GB2312" w:eastAsia="仿宋_GB2312" w:cs="仿宋_GB2312"/>
          <w:b/>
          <w:bCs/>
          <w:kern w:val="0"/>
          <w:sz w:val="24"/>
          <w:szCs w:val="24"/>
          <w:lang w:val="en-US" w:eastAsia="zh-CN"/>
        </w:rPr>
        <w:t>六</w:t>
      </w:r>
      <w:r>
        <w:rPr>
          <w:rFonts w:hint="eastAsia" w:ascii="仿宋_GB2312" w:hAnsi="仿宋_GB2312" w:eastAsia="仿宋_GB2312" w:cs="仿宋_GB2312"/>
          <w:b/>
          <w:bCs/>
          <w:kern w:val="0"/>
          <w:sz w:val="24"/>
          <w:szCs w:val="24"/>
        </w:rPr>
        <w:t xml:space="preserve">条 </w:t>
      </w:r>
      <w:r>
        <w:rPr>
          <w:rFonts w:hint="eastAsia" w:ascii="仿宋_GB2312" w:hAnsi="仿宋_GB2312" w:eastAsia="仿宋_GB2312" w:cs="仿宋_GB2312"/>
          <w:b/>
          <w:bCs/>
          <w:kern w:val="0"/>
          <w:sz w:val="24"/>
          <w:szCs w:val="24"/>
          <w:lang w:val="en-US" w:eastAsia="zh-CN"/>
        </w:rPr>
        <w:t>质量保证</w:t>
      </w:r>
    </w:p>
    <w:p w14:paraId="3B93B227">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一、所选材料及配套产品必须保证质量可靠、进货渠道正常，符合国家环保等相关标准，满足施工要求。</w:t>
      </w:r>
    </w:p>
    <w:p w14:paraId="42487D12">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二、工程质量应当达到约定的质量标准，质量标准的评定以国家或行业的质量检验评定标准为依据。因乙方原因导致工程质量达不到约定的质量标准，乙方承担违约责任。</w:t>
      </w:r>
    </w:p>
    <w:p w14:paraId="4A07DA69">
      <w:pPr>
        <w:pStyle w:val="6"/>
        <w:adjustRightInd w:val="0"/>
        <w:snapToGrid w:val="0"/>
        <w:spacing w:line="360" w:lineRule="auto"/>
        <w:ind w:firstLine="480" w:firstLineChars="200"/>
        <w:jc w:val="both"/>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三、乙方在质保期内应无偿负责所承包工程的维修和替换等工作。超出质保期收取人工及材料成本费用。</w:t>
      </w:r>
    </w:p>
    <w:p w14:paraId="2C362701">
      <w:pPr>
        <w:pStyle w:val="6"/>
        <w:adjustRightInd w:val="0"/>
        <w:snapToGrid w:val="0"/>
        <w:spacing w:line="360" w:lineRule="auto"/>
        <w:ind w:firstLine="480" w:firstLineChars="200"/>
        <w:jc w:val="both"/>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val="en-US" w:eastAsia="zh-CN"/>
        </w:rPr>
        <w:t>四、</w:t>
      </w:r>
      <w:r>
        <w:rPr>
          <w:rFonts w:hint="eastAsia" w:ascii="仿宋_GB2312" w:hAnsi="仿宋_GB2312" w:eastAsia="仿宋_GB2312" w:cs="仿宋_GB2312"/>
          <w:bCs/>
          <w:sz w:val="24"/>
          <w:szCs w:val="24"/>
        </w:rPr>
        <w:t>效率：按时保质保量完成合同规定的全部工程内容</w:t>
      </w:r>
      <w:r>
        <w:rPr>
          <w:rFonts w:hint="eastAsia" w:ascii="仿宋_GB2312" w:hAnsi="仿宋_GB2312" w:eastAsia="仿宋_GB2312" w:cs="仿宋_GB2312"/>
          <w:bCs/>
          <w:sz w:val="24"/>
          <w:szCs w:val="24"/>
          <w:lang w:eastAsia="zh-CN"/>
        </w:rPr>
        <w:t>。</w:t>
      </w:r>
    </w:p>
    <w:p w14:paraId="4786A601">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w:t>
      </w:r>
      <w:r>
        <w:rPr>
          <w:rFonts w:hint="eastAsia" w:ascii="仿宋_GB2312" w:hAnsi="仿宋_GB2312" w:eastAsia="仿宋_GB2312" w:cs="仿宋_GB2312"/>
          <w:b/>
          <w:sz w:val="24"/>
          <w:szCs w:val="24"/>
          <w:lang w:val="en-US" w:eastAsia="zh-CN"/>
        </w:rPr>
        <w:t>七</w:t>
      </w:r>
      <w:r>
        <w:rPr>
          <w:rFonts w:hint="eastAsia" w:ascii="仿宋_GB2312" w:hAnsi="仿宋_GB2312" w:eastAsia="仿宋_GB2312" w:cs="仿宋_GB2312"/>
          <w:b/>
          <w:sz w:val="24"/>
          <w:szCs w:val="24"/>
        </w:rPr>
        <w:t>条  本项目拟派主要人员</w:t>
      </w:r>
    </w:p>
    <w:p w14:paraId="47C127FE">
      <w:pPr>
        <w:adjustRightInd w:val="0"/>
        <w:snapToGrid w:val="0"/>
        <w:spacing w:line="360" w:lineRule="auto"/>
        <w:ind w:firstLine="480" w:firstLineChars="200"/>
        <w:rPr>
          <w:rFonts w:hint="eastAsia" w:ascii="仿宋_GB2312" w:hAnsi="仿宋_GB2312" w:eastAsia="仿宋_GB2312" w:cs="仿宋_GB2312"/>
          <w:bCs/>
          <w:sz w:val="24"/>
          <w:szCs w:val="24"/>
          <w:u w:val="none"/>
          <w:lang w:eastAsia="zh-CN"/>
        </w:rPr>
      </w:pPr>
      <w:r>
        <w:rPr>
          <w:rFonts w:hint="eastAsia" w:ascii="仿宋_GB2312" w:hAnsi="仿宋_GB2312" w:eastAsia="仿宋_GB2312" w:cs="仿宋_GB2312"/>
          <w:bCs/>
          <w:sz w:val="24"/>
          <w:szCs w:val="24"/>
        </w:rPr>
        <w:t>一、拟派</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为项目经理，联系电话：</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，身份证号：</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u w:val="none"/>
          <w:lang w:eastAsia="zh-CN"/>
        </w:rPr>
        <w:t>。</w:t>
      </w:r>
    </w:p>
    <w:p w14:paraId="57798611">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二、拟派</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为技术负责人，联系电话：</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，身份证号：</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u w:val="none"/>
        </w:rPr>
        <w:t>。</w:t>
      </w:r>
    </w:p>
    <w:p w14:paraId="1EDB174B">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w:t>
      </w:r>
      <w:r>
        <w:rPr>
          <w:rFonts w:hint="eastAsia" w:ascii="仿宋_GB2312" w:hAnsi="仿宋_GB2312" w:eastAsia="仿宋_GB2312" w:cs="仿宋_GB2312"/>
          <w:b/>
          <w:sz w:val="24"/>
          <w:szCs w:val="24"/>
          <w:lang w:val="en-US" w:eastAsia="zh-CN"/>
        </w:rPr>
        <w:t>八</w:t>
      </w:r>
      <w:r>
        <w:rPr>
          <w:rFonts w:hint="eastAsia" w:ascii="仿宋_GB2312" w:hAnsi="仿宋_GB2312" w:eastAsia="仿宋_GB2312" w:cs="仿宋_GB2312"/>
          <w:b/>
          <w:sz w:val="24"/>
          <w:szCs w:val="24"/>
        </w:rPr>
        <w:t>条  验收</w:t>
      </w:r>
    </w:p>
    <w:p w14:paraId="1E74284A">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主材到现场后，由甲方对其进行验收，确认材料的产地、规格、数量。</w:t>
      </w:r>
    </w:p>
    <w:p w14:paraId="28FB68C6">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乙方工程完工后，进行自检，出现问题限期整改，合格后准备验收文件，并书面通知甲方。</w:t>
      </w:r>
    </w:p>
    <w:p w14:paraId="24F6AA92">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三</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甲方确认乙方的自检内容，乙方提出验收申请，甲方及时组织验收，验收合格后出具验收报告。</w:t>
      </w:r>
    </w:p>
    <w:p w14:paraId="1FD5748C">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四</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验收标准：执行国家、省或行业现行的工程建设质量验收标准及规范，须达到合格标准。</w:t>
      </w:r>
    </w:p>
    <w:p w14:paraId="37DE3A72">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五</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验收依据：</w:t>
      </w:r>
    </w:p>
    <w:p w14:paraId="7FD26538">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一</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合同、磋商文件、响应文件及承诺。</w:t>
      </w:r>
    </w:p>
    <w:p w14:paraId="67A2984B">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（二）</w:t>
      </w:r>
      <w:r>
        <w:rPr>
          <w:rFonts w:hint="eastAsia" w:ascii="仿宋_GB2312" w:hAnsi="仿宋_GB2312" w:eastAsia="仿宋_GB2312" w:cs="仿宋_GB2312"/>
          <w:b w:val="0"/>
          <w:bCs/>
          <w:sz w:val="24"/>
          <w:szCs w:val="24"/>
        </w:rPr>
        <w:t>国家相关标准、规范及有关技术文件。</w:t>
      </w:r>
    </w:p>
    <w:p w14:paraId="3DCA4B4F">
      <w:pPr>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第</w:t>
      </w:r>
      <w:r>
        <w:rPr>
          <w:rFonts w:hint="eastAsia" w:ascii="仿宋_GB2312" w:hAnsi="仿宋_GB2312" w:eastAsia="仿宋_GB2312" w:cs="仿宋_GB2312"/>
          <w:b/>
          <w:bCs w:val="0"/>
          <w:sz w:val="24"/>
          <w:szCs w:val="24"/>
          <w:lang w:val="en-US" w:eastAsia="zh-CN"/>
        </w:rPr>
        <w:t>九</w:t>
      </w:r>
      <w:r>
        <w:rPr>
          <w:rFonts w:hint="eastAsia" w:ascii="仿宋_GB2312" w:hAnsi="仿宋_GB2312" w:eastAsia="仿宋_GB2312" w:cs="仿宋_GB2312"/>
          <w:b/>
          <w:bCs w:val="0"/>
          <w:sz w:val="24"/>
          <w:szCs w:val="24"/>
        </w:rPr>
        <w:t>条  安全施工</w:t>
      </w:r>
    </w:p>
    <w:p w14:paraId="73C8AB3A">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遵守工程建设安全生产有关管理规定，严格按安全标准组织施工，采取必要的安全生产措施，消除事故隐患。安全措施不力造成事故责任和发生的费用由乙方承担。</w:t>
      </w:r>
    </w:p>
    <w:p w14:paraId="36B1755B">
      <w:pPr>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第</w:t>
      </w:r>
      <w:r>
        <w:rPr>
          <w:rFonts w:hint="eastAsia" w:ascii="仿宋_GB2312" w:hAnsi="仿宋_GB2312" w:eastAsia="仿宋_GB2312" w:cs="仿宋_GB2312"/>
          <w:b/>
          <w:bCs w:val="0"/>
          <w:sz w:val="24"/>
          <w:szCs w:val="24"/>
          <w:lang w:val="en-US" w:eastAsia="zh-CN"/>
        </w:rPr>
        <w:t>十</w:t>
      </w:r>
      <w:r>
        <w:rPr>
          <w:rFonts w:hint="eastAsia" w:ascii="仿宋_GB2312" w:hAnsi="仿宋_GB2312" w:eastAsia="仿宋_GB2312" w:cs="仿宋_GB2312"/>
          <w:b/>
          <w:bCs w:val="0"/>
          <w:sz w:val="24"/>
          <w:szCs w:val="24"/>
        </w:rPr>
        <w:t>条  质量保修</w:t>
      </w:r>
    </w:p>
    <w:p w14:paraId="17BCBFC7">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一、工程质量保修期（项目从通过最终验收之日起进入保修期）：</w:t>
      </w:r>
    </w:p>
    <w:p w14:paraId="76B1AEFB">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装修装饰工程：2 年；</w:t>
      </w:r>
    </w:p>
    <w:p w14:paraId="017F4CD2">
      <w:pPr>
        <w:adjustRightInd w:val="0"/>
        <w:snapToGrid w:val="0"/>
        <w:spacing w:line="360" w:lineRule="auto"/>
        <w:ind w:firstLine="480" w:firstLineChars="200"/>
        <w:rPr>
          <w:rFonts w:hint="eastAsia" w:ascii="仿宋_GB2312" w:hAnsi="仿宋_GB2312" w:eastAsia="仿宋_GB2312" w:cs="仿宋_GB2312"/>
          <w:bCs/>
          <w:sz w:val="24"/>
          <w:szCs w:val="24"/>
          <w:highlight w:val="none"/>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二</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防水工程：5 年。</w:t>
      </w:r>
    </w:p>
    <w:p w14:paraId="185A23BC">
      <w:pPr>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二、</w:t>
      </w:r>
      <w:r>
        <w:rPr>
          <w:rFonts w:hint="eastAsia" w:ascii="仿宋_GB2312" w:hAnsi="仿宋_GB2312" w:eastAsia="仿宋_GB2312" w:cs="仿宋_GB2312"/>
          <w:kern w:val="0"/>
          <w:sz w:val="24"/>
          <w:szCs w:val="24"/>
        </w:rPr>
        <w:t>本项目保修期根据《建设工程质量管理条例》及有关规定执行。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6B91F969">
      <w:pPr>
        <w:adjustRightInd w:val="0"/>
        <w:snapToGrid w:val="0"/>
        <w:spacing w:line="360" w:lineRule="auto"/>
        <w:ind w:firstLine="482" w:firstLineChars="20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第十</w:t>
      </w:r>
      <w:r>
        <w:rPr>
          <w:rFonts w:hint="eastAsia" w:ascii="仿宋_GB2312" w:hAnsi="仿宋_GB2312" w:eastAsia="仿宋_GB2312" w:cs="仿宋_GB2312"/>
          <w:b/>
          <w:bCs/>
          <w:kern w:val="0"/>
          <w:sz w:val="24"/>
          <w:szCs w:val="24"/>
          <w:lang w:val="en-US" w:eastAsia="zh-CN"/>
        </w:rPr>
        <w:t>一</w:t>
      </w:r>
      <w:r>
        <w:rPr>
          <w:rFonts w:hint="eastAsia" w:ascii="仿宋_GB2312" w:hAnsi="仿宋_GB2312" w:eastAsia="仿宋_GB2312" w:cs="仿宋_GB2312"/>
          <w:b/>
          <w:bCs/>
          <w:kern w:val="0"/>
          <w:sz w:val="24"/>
          <w:szCs w:val="24"/>
        </w:rPr>
        <w:t>条  双方的权利和义务</w:t>
      </w:r>
    </w:p>
    <w:p w14:paraId="0E600DD5">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kern w:val="0"/>
          <w:sz w:val="24"/>
          <w:szCs w:val="24"/>
        </w:rPr>
        <w:t>一、甲方</w:t>
      </w:r>
      <w:r>
        <w:rPr>
          <w:rFonts w:hint="eastAsia" w:ascii="仿宋_GB2312" w:hAnsi="仿宋_GB2312" w:eastAsia="仿宋_GB2312" w:cs="仿宋_GB2312"/>
          <w:bCs/>
          <w:sz w:val="24"/>
          <w:szCs w:val="24"/>
        </w:rPr>
        <w:t>的权利与义务</w:t>
      </w:r>
    </w:p>
    <w:p w14:paraId="515603D0">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lang w:eastAsia="zh-CN"/>
        </w:rPr>
        <w:t>甲方负责施工场地的提供，排除施工障碍的协调。</w:t>
      </w:r>
    </w:p>
    <w:p w14:paraId="656793D0">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二</w:t>
      </w:r>
      <w:r>
        <w:rPr>
          <w:rFonts w:hint="eastAsia" w:ascii="仿宋_GB2312" w:hAnsi="仿宋_GB2312" w:eastAsia="仿宋_GB2312" w:cs="仿宋_GB2312"/>
          <w:bCs/>
          <w:sz w:val="24"/>
          <w:szCs w:val="24"/>
          <w:lang w:eastAsia="zh-CN"/>
        </w:rPr>
        <w:t>）组织设计、施工单位进行图纸交底，负责设计图纸问题的处理，设计变更及现场签证，工程结算的审定等工作。</w:t>
      </w:r>
    </w:p>
    <w:p w14:paraId="168E15AD">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三</w:t>
      </w:r>
      <w:r>
        <w:rPr>
          <w:rFonts w:hint="eastAsia" w:ascii="仿宋_GB2312" w:hAnsi="仿宋_GB2312" w:eastAsia="仿宋_GB2312" w:cs="仿宋_GB2312"/>
          <w:bCs/>
          <w:sz w:val="24"/>
          <w:szCs w:val="24"/>
          <w:lang w:eastAsia="zh-CN"/>
        </w:rPr>
        <w:t>）对工程进度、质量进行监督检查。</w:t>
      </w:r>
    </w:p>
    <w:p w14:paraId="71546CE2">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四</w:t>
      </w:r>
      <w:r>
        <w:rPr>
          <w:rFonts w:hint="eastAsia" w:ascii="仿宋_GB2312" w:hAnsi="仿宋_GB2312" w:eastAsia="仿宋_GB2312" w:cs="仿宋_GB2312"/>
          <w:bCs/>
          <w:sz w:val="24"/>
          <w:szCs w:val="24"/>
          <w:lang w:eastAsia="zh-CN"/>
        </w:rPr>
        <w:t>）组织有关单位对工程进行竣工验收。</w:t>
      </w:r>
    </w:p>
    <w:p w14:paraId="44131CE9">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二、乙方的权利与义务</w:t>
      </w:r>
    </w:p>
    <w:p w14:paraId="353EC0F4">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lang w:eastAsia="zh-CN"/>
        </w:rPr>
        <w:t>负责办理完成项目使用审批手续，负责工程安全文明施工、承担一切风险，满足甲方工程的需要。保证甲方正式投入使用，再无其他费用发生。</w:t>
      </w:r>
    </w:p>
    <w:p w14:paraId="44D1F2B0">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二</w:t>
      </w:r>
      <w:r>
        <w:rPr>
          <w:rFonts w:hint="eastAsia" w:ascii="仿宋_GB2312" w:hAnsi="仿宋_GB2312" w:eastAsia="仿宋_GB2312" w:cs="仿宋_GB2312"/>
          <w:bCs/>
          <w:sz w:val="24"/>
          <w:szCs w:val="24"/>
          <w:lang w:eastAsia="zh-CN"/>
        </w:rPr>
        <w:t>）乙方进入甲方要求场地施工，应服从当地对治安、卫生、环保、社会保险等工程建设的统一管理，并按有关规定缴纳费用以及因违反相关规定而造成的罚款。乙方按照国家和当地政府有关规定应采取的任何必要安全防护措施已包含在乙方的合同价款当中，甲方不另行支付。</w:t>
      </w:r>
    </w:p>
    <w:p w14:paraId="13185FF2">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三</w:t>
      </w:r>
      <w:r>
        <w:rPr>
          <w:rFonts w:hint="eastAsia" w:ascii="仿宋_GB2312" w:hAnsi="仿宋_GB2312" w:eastAsia="仿宋_GB2312" w:cs="仿宋_GB2312"/>
          <w:bCs/>
          <w:sz w:val="24"/>
          <w:szCs w:val="24"/>
          <w:lang w:eastAsia="zh-CN"/>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4AAA5E58">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四</w:t>
      </w:r>
      <w:r>
        <w:rPr>
          <w:rFonts w:hint="eastAsia" w:ascii="仿宋_GB2312" w:hAnsi="仿宋_GB2312" w:eastAsia="仿宋_GB2312" w:cs="仿宋_GB2312"/>
          <w:bCs/>
          <w:sz w:val="24"/>
          <w:szCs w:val="24"/>
          <w:lang w:eastAsia="zh-CN"/>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6F6C04E3">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五</w:t>
      </w:r>
      <w:r>
        <w:rPr>
          <w:rFonts w:hint="eastAsia" w:ascii="仿宋_GB2312" w:hAnsi="仿宋_GB2312" w:eastAsia="仿宋_GB2312" w:cs="仿宋_GB2312"/>
          <w:bCs/>
          <w:sz w:val="24"/>
          <w:szCs w:val="24"/>
          <w:lang w:eastAsia="zh-CN"/>
        </w:rPr>
        <w:t>）采取有效的安全保障措施，确保施工安全，包括悬挂警示标牌、装设围栏、配备安全人员等，并承担事故的全部费用和责任。</w:t>
      </w:r>
    </w:p>
    <w:p w14:paraId="10C366E7">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六</w:t>
      </w:r>
      <w:r>
        <w:rPr>
          <w:rFonts w:hint="eastAsia" w:ascii="仿宋_GB2312" w:hAnsi="仿宋_GB2312" w:eastAsia="仿宋_GB2312" w:cs="仿宋_GB2312"/>
          <w:bCs/>
          <w:sz w:val="24"/>
          <w:szCs w:val="24"/>
          <w:lang w:eastAsia="zh-CN"/>
        </w:rPr>
        <w:t>）已完工的项目，在交工前乙方应负责保管，清理现场达到建筑物无污染，现场无建筑垃圾。</w:t>
      </w:r>
    </w:p>
    <w:p w14:paraId="7BC8ADCE">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七</w:t>
      </w:r>
      <w:r>
        <w:rPr>
          <w:rFonts w:hint="eastAsia" w:ascii="仿宋_GB2312" w:hAnsi="仿宋_GB2312" w:eastAsia="仿宋_GB2312" w:cs="仿宋_GB2312"/>
          <w:bCs/>
          <w:sz w:val="24"/>
          <w:szCs w:val="24"/>
          <w:lang w:eastAsia="zh-CN"/>
        </w:rPr>
        <w:t>）乙方应在设备运行过程中，对安全隐患进行全面的不定期检查与维护，并对不按安全规程操作的施工单位及时制止，并报甲方进行处理。</w:t>
      </w:r>
    </w:p>
    <w:p w14:paraId="3C419D5E">
      <w:pPr>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八</w:t>
      </w:r>
      <w:r>
        <w:rPr>
          <w:rFonts w:hint="eastAsia" w:ascii="仿宋_GB2312" w:hAnsi="仿宋_GB2312" w:eastAsia="仿宋_GB2312" w:cs="仿宋_GB2312"/>
          <w:bCs/>
          <w:sz w:val="24"/>
          <w:szCs w:val="24"/>
          <w:lang w:eastAsia="zh-CN"/>
        </w:rPr>
        <w:t>）乙方不能按合同规定的工期竣工的，应向甲方支付违约金，每逾期一日，支付合同总价款万分之二的违约金，造成甲方损失的，还应赔偿甲方损失。</w:t>
      </w:r>
    </w:p>
    <w:p w14:paraId="40EC0255">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w:t>
      </w:r>
      <w:r>
        <w:rPr>
          <w:rFonts w:hint="eastAsia" w:ascii="仿宋_GB2312" w:hAnsi="仿宋_GB2312" w:eastAsia="仿宋_GB2312" w:cs="仿宋_GB2312"/>
          <w:b/>
          <w:sz w:val="24"/>
          <w:szCs w:val="24"/>
          <w:lang w:val="en-US" w:eastAsia="zh-CN"/>
        </w:rPr>
        <w:t>二</w:t>
      </w:r>
      <w:r>
        <w:rPr>
          <w:rFonts w:hint="eastAsia" w:ascii="仿宋_GB2312" w:hAnsi="仿宋_GB2312" w:eastAsia="仿宋_GB2312" w:cs="仿宋_GB2312"/>
          <w:b/>
          <w:sz w:val="24"/>
          <w:szCs w:val="24"/>
        </w:rPr>
        <w:t>条 违约责任</w:t>
      </w:r>
    </w:p>
    <w:p w14:paraId="1199FBAF">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一、甲方的违约责任</w:t>
      </w:r>
    </w:p>
    <w:p w14:paraId="55638BD7">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一</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甲方未履行本合同义务的，应承担相应的责任。</w:t>
      </w:r>
    </w:p>
    <w:p w14:paraId="12071E2E">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二</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甲方违反本合同约定造成乙方损失的，甲方应予以赔偿。</w:t>
      </w:r>
    </w:p>
    <w:p w14:paraId="0B36037A">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三</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甲方向乙方的索赔不成立时，应赔偿乙方由此引起的费用。</w:t>
      </w:r>
    </w:p>
    <w:p w14:paraId="520CE852">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四</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甲方未能按期支付酬金超过28天，应按专用条件约定支付逾期付款利息。</w:t>
      </w:r>
    </w:p>
    <w:p w14:paraId="23B93FD4">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二、乙方的违约责任</w:t>
      </w:r>
    </w:p>
    <w:p w14:paraId="6A4D88B0">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rPr>
        <w:t>本工程要求工程质量标准需达到国家、省市或相关行业规范“合格”标准要求，竣工验收达不到合格标准的，除按国家规定对供应商予以处罚外，乙方应无条件的返工直到工程合格为止，费用由乙方承担。因质量问题给甲方造成的经济及名誉等一系列损失，由乙方承担相应费用。</w:t>
      </w:r>
    </w:p>
    <w:p w14:paraId="76F9F0C2">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lang w:val="en-US" w:eastAsia="zh-CN"/>
        </w:rPr>
        <w:t>二</w:t>
      </w:r>
      <w:r>
        <w:rPr>
          <w:rFonts w:hint="eastAsia" w:ascii="仿宋_GB2312" w:hAnsi="仿宋_GB2312" w:eastAsia="仿宋_GB2312" w:cs="仿宋_GB2312"/>
          <w:bCs/>
          <w:sz w:val="24"/>
          <w:szCs w:val="24"/>
          <w:lang w:eastAsia="zh-CN"/>
        </w:rPr>
        <w:t>）</w:t>
      </w:r>
      <w:r>
        <w:rPr>
          <w:rFonts w:hint="eastAsia" w:ascii="仿宋_GB2312" w:hAnsi="仿宋_GB2312" w:eastAsia="仿宋_GB2312" w:cs="仿宋_GB2312"/>
          <w:bCs/>
          <w:sz w:val="24"/>
          <w:szCs w:val="24"/>
        </w:rPr>
        <w:t>乙方将工程转包的，甲方有权解除本合同，乙方向甲方支付合同价款10%的违约金。</w:t>
      </w:r>
    </w:p>
    <w:p w14:paraId="2B488A12">
      <w:pPr>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三</w:t>
      </w:r>
      <w:r>
        <w:rPr>
          <w:rFonts w:hint="eastAsia" w:ascii="仿宋_GB2312" w:hAnsi="仿宋_GB2312" w:eastAsia="仿宋_GB2312" w:cs="仿宋_GB2312"/>
          <w:b w:val="0"/>
          <w:bCs/>
          <w:sz w:val="24"/>
          <w:szCs w:val="24"/>
          <w:lang w:eastAsia="zh-CN"/>
        </w:rPr>
        <w:t>）甲方有权对乙方不称职或不接受管理的人员进行处罚或驱逐出场。在乙方发出要求更换不合格或不称职人员指令后，乙方须及时更换合格人员，逾期未到岗视为乙方违约，给甲方造成的经济及名誉等一系列损失，由乙方承担相应费用</w:t>
      </w:r>
      <w:r>
        <w:rPr>
          <w:rFonts w:hint="eastAsia" w:ascii="仿宋_GB2312" w:hAnsi="仿宋_GB2312" w:eastAsia="仿宋_GB2312" w:cs="仿宋_GB2312"/>
          <w:b w:val="0"/>
          <w:bCs/>
          <w:sz w:val="24"/>
          <w:szCs w:val="24"/>
        </w:rPr>
        <w:t>。</w:t>
      </w:r>
    </w:p>
    <w:p w14:paraId="41183F1B">
      <w:pPr>
        <w:pStyle w:val="24"/>
        <w:widowControl/>
        <w:snapToGrid w:val="0"/>
        <w:ind w:firstLine="561"/>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第十</w:t>
      </w:r>
      <w:r>
        <w:rPr>
          <w:rFonts w:hint="eastAsia" w:ascii="仿宋_GB2312" w:hAnsi="仿宋_GB2312" w:eastAsia="仿宋_GB2312" w:cs="仿宋_GB2312"/>
          <w:b/>
          <w:bCs/>
          <w:sz w:val="24"/>
          <w:szCs w:val="24"/>
          <w:lang w:val="en-US" w:eastAsia="zh-CN"/>
        </w:rPr>
        <w:t>三</w:t>
      </w:r>
      <w:r>
        <w:rPr>
          <w:rFonts w:hint="eastAsia" w:ascii="仿宋_GB2312" w:hAnsi="仿宋_GB2312" w:eastAsia="仿宋_GB2312" w:cs="仿宋_GB2312"/>
          <w:b/>
          <w:bCs/>
          <w:sz w:val="24"/>
          <w:szCs w:val="24"/>
        </w:rPr>
        <w:t>条  合同变更与终止</w:t>
      </w:r>
    </w:p>
    <w:p w14:paraId="7574374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一、</w:t>
      </w:r>
      <w:r>
        <w:rPr>
          <w:rFonts w:hint="eastAsia" w:ascii="仿宋_GB2312" w:hAnsi="仿宋_GB2312" w:eastAsia="仿宋_GB2312" w:cs="仿宋_GB2312"/>
          <w:sz w:val="24"/>
          <w:szCs w:val="24"/>
        </w:rPr>
        <w:t>合同期间任何一方不得随意终止合同。</w:t>
      </w:r>
    </w:p>
    <w:p w14:paraId="7184D200">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本合同规定的履行期限届满，合同自动终止。</w:t>
      </w:r>
    </w:p>
    <w:p w14:paraId="791AB38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因双方机构撤并、职能调整等原因，确需终止合同的，双方可协商终止合同。</w:t>
      </w:r>
    </w:p>
    <w:p w14:paraId="379BE523">
      <w:pPr>
        <w:pStyle w:val="4"/>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四</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乙方应自觉遵守甲方工作纪律、规章制度，服从甲方管理。因乙方原因给甲方造成严重后果，甲方可以单方面解除合同。</w:t>
      </w:r>
    </w:p>
    <w:p w14:paraId="4C85580E">
      <w:pPr>
        <w:adjustRightInd w:val="0"/>
        <w:snapToGrid w:val="0"/>
        <w:spacing w:line="360" w:lineRule="auto"/>
        <w:ind w:firstLine="482" w:firstLineChars="200"/>
        <w:jc w:val="left"/>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第十</w:t>
      </w:r>
      <w:r>
        <w:rPr>
          <w:rFonts w:hint="eastAsia" w:ascii="仿宋_GB2312" w:hAnsi="仿宋_GB2312" w:eastAsia="仿宋_GB2312" w:cs="仿宋_GB2312"/>
          <w:b/>
          <w:bCs/>
          <w:kern w:val="0"/>
          <w:sz w:val="24"/>
          <w:szCs w:val="24"/>
          <w:lang w:val="en-US" w:eastAsia="zh-CN"/>
        </w:rPr>
        <w:t>四</w:t>
      </w:r>
      <w:r>
        <w:rPr>
          <w:rFonts w:hint="eastAsia" w:ascii="仿宋_GB2312" w:hAnsi="仿宋_GB2312" w:eastAsia="仿宋_GB2312" w:cs="仿宋_GB2312"/>
          <w:b/>
          <w:bCs/>
          <w:kern w:val="0"/>
          <w:sz w:val="24"/>
          <w:szCs w:val="24"/>
        </w:rPr>
        <w:t xml:space="preserve">条 </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
          <w:bCs/>
          <w:kern w:val="0"/>
          <w:sz w:val="24"/>
          <w:szCs w:val="24"/>
        </w:rPr>
        <w:t>不可抗力</w:t>
      </w:r>
      <w:r>
        <w:rPr>
          <w:rFonts w:hint="eastAsia" w:ascii="仿宋_GB2312" w:hAnsi="仿宋_GB2312" w:eastAsia="仿宋_GB2312" w:cs="仿宋_GB2312"/>
          <w:b/>
          <w:bCs/>
          <w:kern w:val="0"/>
          <w:sz w:val="24"/>
          <w:szCs w:val="24"/>
        </w:rPr>
        <w:fldChar w:fldCharType="end"/>
      </w:r>
    </w:p>
    <w:p w14:paraId="03127DD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甲乙双方任何一方由于</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kern w:val="0"/>
          <w:sz w:val="24"/>
          <w:szCs w:val="24"/>
        </w:rPr>
        <w:t>不可抗力</w:t>
      </w:r>
      <w:r>
        <w:rPr>
          <w:rFonts w:hint="eastAsia" w:ascii="仿宋_GB2312" w:hAnsi="仿宋_GB2312" w:eastAsia="仿宋_GB2312" w:cs="仿宋_GB2312"/>
          <w:kern w:val="0"/>
          <w:sz w:val="24"/>
          <w:szCs w:val="24"/>
        </w:rPr>
        <w:fldChar w:fldCharType="end"/>
      </w:r>
      <w:r>
        <w:rPr>
          <w:rFonts w:hint="eastAsia" w:ascii="仿宋_GB2312" w:hAnsi="仿宋_GB2312" w:eastAsia="仿宋_GB2312" w:cs="仿宋_GB2312"/>
          <w:kern w:val="0"/>
          <w:sz w:val="24"/>
          <w:szCs w:val="24"/>
        </w:rPr>
        <w:t>原因不能履行合同时，应及时向对</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kern w:val="0"/>
          <w:sz w:val="24"/>
          <w:szCs w:val="24"/>
        </w:rPr>
        <w:t>方通</w:t>
      </w:r>
      <w:r>
        <w:rPr>
          <w:rFonts w:hint="eastAsia" w:ascii="仿宋_GB2312" w:hAnsi="仿宋_GB2312" w:eastAsia="仿宋_GB2312" w:cs="仿宋_GB2312"/>
          <w:kern w:val="0"/>
          <w:sz w:val="24"/>
          <w:szCs w:val="24"/>
        </w:rPr>
        <w:fldChar w:fldCharType="end"/>
      </w:r>
      <w:r>
        <w:rPr>
          <w:rFonts w:hint="eastAsia" w:ascii="仿宋_GB2312" w:hAnsi="仿宋_GB2312" w:eastAsia="仿宋_GB2312" w:cs="仿宋_GB2312"/>
          <w:kern w:val="0"/>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kern w:val="0"/>
          <w:sz w:val="24"/>
          <w:szCs w:val="24"/>
        </w:rPr>
        <w:t>违约责任</w:t>
      </w:r>
      <w:r>
        <w:rPr>
          <w:rFonts w:hint="eastAsia" w:ascii="仿宋_GB2312" w:hAnsi="仿宋_GB2312" w:eastAsia="仿宋_GB2312" w:cs="仿宋_GB2312"/>
          <w:kern w:val="0"/>
          <w:sz w:val="24"/>
          <w:szCs w:val="24"/>
        </w:rPr>
        <w:fldChar w:fldCharType="end"/>
      </w:r>
      <w:r>
        <w:rPr>
          <w:rFonts w:hint="eastAsia" w:ascii="仿宋_GB2312" w:hAnsi="仿宋_GB2312" w:eastAsia="仿宋_GB2312" w:cs="仿宋_GB2312"/>
          <w:kern w:val="0"/>
          <w:sz w:val="24"/>
          <w:szCs w:val="24"/>
        </w:rPr>
        <w:t>。</w:t>
      </w:r>
    </w:p>
    <w:p w14:paraId="3D81CD54">
      <w:pPr>
        <w:adjustRightInd w:val="0"/>
        <w:snapToGri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第十</w:t>
      </w:r>
      <w:r>
        <w:rPr>
          <w:rFonts w:hint="eastAsia" w:ascii="仿宋_GB2312" w:hAnsi="仿宋_GB2312" w:eastAsia="仿宋_GB2312" w:cs="仿宋_GB2312"/>
          <w:b/>
          <w:sz w:val="24"/>
          <w:szCs w:val="24"/>
          <w:lang w:val="en-US" w:eastAsia="zh-CN"/>
        </w:rPr>
        <w:t>五</w:t>
      </w:r>
      <w:r>
        <w:rPr>
          <w:rFonts w:hint="eastAsia" w:ascii="仿宋_GB2312" w:hAnsi="仿宋_GB2312" w:eastAsia="仿宋_GB2312" w:cs="仿宋_GB2312"/>
          <w:b/>
          <w:sz w:val="24"/>
          <w:szCs w:val="24"/>
        </w:rPr>
        <w:t>条  纠纷解决办法</w:t>
      </w:r>
    </w:p>
    <w:p w14:paraId="25CAFA5B">
      <w:pPr>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因本合同产生纠纷，如协商无法解决，双方均有权向甲方所在地人民法院提起诉讼。</w:t>
      </w:r>
    </w:p>
    <w:p w14:paraId="4BB3D1F2">
      <w:pPr>
        <w:keepNext w:val="0"/>
        <w:keepLines w:val="0"/>
        <w:pageBreakBefore w:val="0"/>
        <w:widowControl w:val="0"/>
        <w:kinsoku/>
        <w:wordWrap/>
        <w:overflowPunct/>
        <w:topLinePunct w:val="0"/>
        <w:bidi w:val="0"/>
        <w:adjustRightInd w:val="0"/>
        <w:snapToGrid w:val="0"/>
        <w:spacing w:line="360" w:lineRule="auto"/>
        <w:ind w:firstLine="482" w:firstLineChars="200"/>
        <w:jc w:val="left"/>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第十</w:t>
      </w:r>
      <w:r>
        <w:rPr>
          <w:rFonts w:hint="eastAsia" w:ascii="仿宋_GB2312" w:hAnsi="仿宋_GB2312" w:eastAsia="仿宋_GB2312" w:cs="仿宋_GB2312"/>
          <w:b/>
          <w:bCs/>
          <w:kern w:val="0"/>
          <w:sz w:val="24"/>
          <w:szCs w:val="24"/>
          <w:lang w:val="en-US" w:eastAsia="zh-CN"/>
        </w:rPr>
        <w:t>六</w:t>
      </w:r>
      <w:r>
        <w:rPr>
          <w:rFonts w:hint="eastAsia" w:ascii="仿宋_GB2312" w:hAnsi="仿宋_GB2312" w:eastAsia="仿宋_GB2312" w:cs="仿宋_GB2312"/>
          <w:b/>
          <w:bCs/>
          <w:kern w:val="0"/>
          <w:sz w:val="24"/>
          <w:szCs w:val="24"/>
        </w:rPr>
        <w:t>条  监督和管理</w:t>
      </w:r>
    </w:p>
    <w:p w14:paraId="1694F130">
      <w:pPr>
        <w:keepNext w:val="0"/>
        <w:keepLines w:val="0"/>
        <w:pageBreakBefore w:val="0"/>
        <w:widowControl w:val="0"/>
        <w:kinsoku/>
        <w:wordWrap/>
        <w:overflowPunct/>
        <w:topLinePunct w:val="0"/>
        <w:bidi w:val="0"/>
        <w:adjustRightInd w:val="0"/>
        <w:snapToGrid w:val="0"/>
        <w:spacing w:line="360" w:lineRule="auto"/>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一、</w:t>
      </w:r>
      <w:r>
        <w:rPr>
          <w:rFonts w:hint="eastAsia" w:ascii="仿宋_GB2312" w:hAnsi="仿宋_GB2312" w:eastAsia="仿宋_GB2312" w:cs="仿宋_GB2312"/>
          <w:kern w:val="0"/>
          <w:sz w:val="24"/>
          <w:szCs w:val="24"/>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6B55D4E">
      <w:pPr>
        <w:pStyle w:val="6"/>
        <w:keepNext w:val="0"/>
        <w:keepLines w:val="0"/>
        <w:pageBreakBefore w:val="0"/>
        <w:widowControl w:val="0"/>
        <w:kinsoku/>
        <w:wordWrap/>
        <w:overflowPunct/>
        <w:topLinePunct w:val="0"/>
        <w:bidi w:val="0"/>
        <w:adjustRightInd w:val="0"/>
        <w:snapToGrid w:val="0"/>
        <w:spacing w:line="360" w:lineRule="auto"/>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二、</w:t>
      </w:r>
      <w:r>
        <w:rPr>
          <w:rFonts w:hint="eastAsia" w:ascii="仿宋_GB2312" w:hAnsi="仿宋_GB2312" w:eastAsia="仿宋_GB2312" w:cs="仿宋_GB2312"/>
          <w:kern w:val="0"/>
          <w:sz w:val="24"/>
          <w:szCs w:val="24"/>
        </w:rPr>
        <w:t>甲乙双方均应自觉配合有关监督管理部门对合同履行情况的监督检查，如实反映情况，提供有关资料；否则，将对有关单位、当事人按照有关规定予以处罚。</w:t>
      </w:r>
    </w:p>
    <w:p w14:paraId="4FB27775">
      <w:pPr>
        <w:pStyle w:val="6"/>
        <w:keepNext w:val="0"/>
        <w:keepLines w:val="0"/>
        <w:pageBreakBefore w:val="0"/>
        <w:widowControl w:val="0"/>
        <w:kinsoku/>
        <w:wordWrap/>
        <w:overflowPunct/>
        <w:topLinePunct w:val="0"/>
        <w:bidi w:val="0"/>
        <w:adjustRightInd w:val="0"/>
        <w:snapToGrid w:val="0"/>
        <w:spacing w:line="360" w:lineRule="auto"/>
        <w:ind w:firstLine="482" w:firstLineChars="200"/>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第十</w:t>
      </w:r>
      <w:r>
        <w:rPr>
          <w:rFonts w:hint="eastAsia" w:ascii="仿宋_GB2312" w:hAnsi="仿宋_GB2312" w:eastAsia="仿宋_GB2312" w:cs="仿宋_GB2312"/>
          <w:b/>
          <w:bCs/>
          <w:sz w:val="24"/>
          <w:szCs w:val="24"/>
          <w:lang w:val="en-US" w:eastAsia="zh-CN"/>
        </w:rPr>
        <w:t>七</w:t>
      </w:r>
      <w:r>
        <w:rPr>
          <w:rFonts w:hint="eastAsia" w:ascii="仿宋_GB2312" w:hAnsi="仿宋_GB2312" w:eastAsia="仿宋_GB2312" w:cs="仿宋_GB2312"/>
          <w:b/>
          <w:bCs/>
          <w:sz w:val="24"/>
          <w:szCs w:val="24"/>
        </w:rPr>
        <w:t>条  补充条款</w:t>
      </w:r>
    </w:p>
    <w:p w14:paraId="64DC231C">
      <w:pPr>
        <w:pStyle w:val="6"/>
        <w:keepNext w:val="0"/>
        <w:keepLines w:val="0"/>
        <w:pageBreakBefore w:val="0"/>
        <w:widowControl w:val="0"/>
        <w:kinsoku/>
        <w:wordWrap/>
        <w:overflowPunct/>
        <w:topLinePunct w:val="0"/>
        <w:bidi w:val="0"/>
        <w:adjustRightInd w:val="0"/>
        <w:snapToGrid w:val="0"/>
        <w:spacing w:line="360" w:lineRule="auto"/>
        <w:ind w:firstLine="480" w:firstLineChars="200"/>
        <w:jc w:val="both"/>
        <w:rPr>
          <w:rFonts w:hint="eastAsia" w:ascii="仿宋_GB2312" w:hAnsi="仿宋_GB2312" w:eastAsia="仿宋_GB2312" w:cs="仿宋_GB2312"/>
          <w:b/>
          <w:bCs/>
          <w:sz w:val="24"/>
          <w:szCs w:val="24"/>
        </w:rPr>
      </w:pPr>
      <w:r>
        <w:rPr>
          <w:rFonts w:hint="eastAsia" w:ascii="仿宋_GB2312" w:hAnsi="仿宋_GB2312" w:eastAsia="仿宋_GB2312" w:cs="仿宋_GB2312"/>
          <w:kern w:val="0"/>
          <w:sz w:val="24"/>
          <w:szCs w:val="24"/>
        </w:rPr>
        <w:t>乙方应按时发放农民工工资，甲方有权监督乙方在支付当期进度款中发放农</w:t>
      </w:r>
      <w:r>
        <w:rPr>
          <w:rFonts w:hint="eastAsia" w:ascii="仿宋_GB2312" w:hAnsi="仿宋_GB2312" w:eastAsia="仿宋_GB2312" w:cs="仿宋_GB2312"/>
          <w:b w:val="0"/>
          <w:bCs w:val="0"/>
          <w:sz w:val="24"/>
          <w:szCs w:val="24"/>
        </w:rPr>
        <w:t>民工工资。如乙方未按时发放农民工工资，影响到本工程的质量和进度，甲方有权从剩余进度款中按乙方所拟的工资额度直接发放农民工的工资，并按发放金额的50%从乙方的剩余工程款中扣除予以处罚。</w:t>
      </w:r>
    </w:p>
    <w:p w14:paraId="3EB77382">
      <w:pPr>
        <w:pStyle w:val="6"/>
        <w:keepNext w:val="0"/>
        <w:keepLines w:val="0"/>
        <w:pageBreakBefore w:val="0"/>
        <w:widowControl w:val="0"/>
        <w:kinsoku/>
        <w:wordWrap/>
        <w:overflowPunct/>
        <w:topLinePunct w:val="0"/>
        <w:bidi w:val="0"/>
        <w:adjustRightInd w:val="0"/>
        <w:snapToGrid w:val="0"/>
        <w:spacing w:line="360" w:lineRule="auto"/>
        <w:ind w:firstLine="482" w:firstLineChars="200"/>
        <w:jc w:val="both"/>
        <w:rPr>
          <w:rFonts w:hint="eastAsia" w:ascii="仿宋_GB2312" w:hAnsi="仿宋_GB2312" w:eastAsia="仿宋_GB2312" w:cs="仿宋_GB2312"/>
          <w:bCs/>
          <w:sz w:val="24"/>
          <w:szCs w:val="24"/>
        </w:rPr>
      </w:pPr>
      <w:r>
        <w:rPr>
          <w:rFonts w:hint="eastAsia" w:ascii="仿宋_GB2312" w:hAnsi="仿宋_GB2312" w:eastAsia="仿宋_GB2312" w:cs="仿宋_GB2312"/>
          <w:b/>
          <w:bCs/>
          <w:sz w:val="24"/>
          <w:szCs w:val="24"/>
        </w:rPr>
        <w:t>第十</w:t>
      </w:r>
      <w:r>
        <w:rPr>
          <w:rFonts w:hint="eastAsia" w:ascii="仿宋_GB2312" w:hAnsi="仿宋_GB2312" w:eastAsia="仿宋_GB2312" w:cs="仿宋_GB2312"/>
          <w:b/>
          <w:bCs/>
          <w:sz w:val="24"/>
          <w:szCs w:val="24"/>
          <w:lang w:val="en-US" w:eastAsia="zh-CN"/>
        </w:rPr>
        <w:t>八</w:t>
      </w:r>
      <w:r>
        <w:rPr>
          <w:rFonts w:hint="eastAsia" w:ascii="仿宋_GB2312" w:hAnsi="仿宋_GB2312" w:eastAsia="仿宋_GB2312" w:cs="仿宋_GB2312"/>
          <w:b/>
          <w:sz w:val="24"/>
          <w:szCs w:val="24"/>
        </w:rPr>
        <w:t>条  附  则</w:t>
      </w:r>
    </w:p>
    <w:p w14:paraId="7F33DFC4">
      <w:pPr>
        <w:keepNext w:val="0"/>
        <w:keepLines w:val="0"/>
        <w:pageBreakBefore w:val="0"/>
        <w:widowControl w:val="0"/>
        <w:kinsoku/>
        <w:wordWrap/>
        <w:overflowPunct/>
        <w:topLinePunct w:val="0"/>
        <w:bidi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一、甲方代表为</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rPr>
        <w:t>，乙方代表为</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rPr>
        <w:t>。</w:t>
      </w:r>
    </w:p>
    <w:p w14:paraId="1402E066">
      <w:pPr>
        <w:keepNext w:val="0"/>
        <w:keepLines w:val="0"/>
        <w:pageBreakBefore w:val="0"/>
        <w:widowControl w:val="0"/>
        <w:kinsoku/>
        <w:wordWrap/>
        <w:overflowPunct/>
        <w:topLinePunct w:val="0"/>
        <w:bidi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二、本合同一式四份,甲乙双方各执两份。自双方代表签字，加盖双方公章或合同专用章后生效。</w:t>
      </w:r>
    </w:p>
    <w:tbl>
      <w:tblPr>
        <w:tblStyle w:val="15"/>
        <w:tblW w:w="0" w:type="auto"/>
        <w:jc w:val="center"/>
        <w:tblLayout w:type="fixed"/>
        <w:tblCellMar>
          <w:top w:w="0" w:type="dxa"/>
          <w:left w:w="108" w:type="dxa"/>
          <w:bottom w:w="0" w:type="dxa"/>
          <w:right w:w="108" w:type="dxa"/>
        </w:tblCellMar>
      </w:tblPr>
      <w:tblGrid>
        <w:gridCol w:w="4269"/>
        <w:gridCol w:w="4270"/>
      </w:tblGrid>
      <w:tr w14:paraId="22B30699">
        <w:tblPrEx>
          <w:tblCellMar>
            <w:top w:w="0" w:type="dxa"/>
            <w:left w:w="108" w:type="dxa"/>
            <w:bottom w:w="0" w:type="dxa"/>
            <w:right w:w="108" w:type="dxa"/>
          </w:tblCellMar>
        </w:tblPrEx>
        <w:trPr>
          <w:trHeight w:val="592" w:hRule="exact"/>
          <w:jc w:val="center"/>
        </w:trPr>
        <w:tc>
          <w:tcPr>
            <w:tcW w:w="4269" w:type="dxa"/>
            <w:noWrap w:val="0"/>
            <w:vAlign w:val="center"/>
          </w:tcPr>
          <w:p w14:paraId="06F433AC">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甲  方（盖章）</w:t>
            </w:r>
          </w:p>
        </w:tc>
        <w:tc>
          <w:tcPr>
            <w:tcW w:w="4270" w:type="dxa"/>
            <w:noWrap w:val="0"/>
            <w:vAlign w:val="center"/>
          </w:tcPr>
          <w:p w14:paraId="688C59EC">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乙  方（盖章）</w:t>
            </w:r>
          </w:p>
        </w:tc>
      </w:tr>
      <w:tr w14:paraId="4C1D27B3">
        <w:tblPrEx>
          <w:tblCellMar>
            <w:top w:w="0" w:type="dxa"/>
            <w:left w:w="108" w:type="dxa"/>
            <w:bottom w:w="0" w:type="dxa"/>
            <w:right w:w="108" w:type="dxa"/>
          </w:tblCellMar>
        </w:tblPrEx>
        <w:trPr>
          <w:trHeight w:val="632" w:hRule="exact"/>
          <w:jc w:val="center"/>
        </w:trPr>
        <w:tc>
          <w:tcPr>
            <w:tcW w:w="4269" w:type="dxa"/>
            <w:noWrap w:val="0"/>
            <w:vAlign w:val="center"/>
          </w:tcPr>
          <w:p w14:paraId="7E3E113C">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地址： </w:t>
            </w:r>
          </w:p>
        </w:tc>
        <w:tc>
          <w:tcPr>
            <w:tcW w:w="4270" w:type="dxa"/>
            <w:noWrap w:val="0"/>
            <w:vAlign w:val="center"/>
          </w:tcPr>
          <w:p w14:paraId="68A55DA4">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地址：</w:t>
            </w:r>
          </w:p>
        </w:tc>
      </w:tr>
      <w:tr w14:paraId="1C029536">
        <w:tblPrEx>
          <w:tblCellMar>
            <w:top w:w="0" w:type="dxa"/>
            <w:left w:w="108" w:type="dxa"/>
            <w:bottom w:w="0" w:type="dxa"/>
            <w:right w:w="108" w:type="dxa"/>
          </w:tblCellMar>
        </w:tblPrEx>
        <w:trPr>
          <w:trHeight w:val="646" w:hRule="exact"/>
          <w:jc w:val="center"/>
        </w:trPr>
        <w:tc>
          <w:tcPr>
            <w:tcW w:w="4269" w:type="dxa"/>
            <w:noWrap w:val="0"/>
            <w:vAlign w:val="center"/>
          </w:tcPr>
          <w:p w14:paraId="0501E86A">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邮编：</w:t>
            </w:r>
          </w:p>
        </w:tc>
        <w:tc>
          <w:tcPr>
            <w:tcW w:w="4270" w:type="dxa"/>
            <w:noWrap w:val="0"/>
            <w:vAlign w:val="center"/>
          </w:tcPr>
          <w:p w14:paraId="0BE05D20">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邮编：</w:t>
            </w:r>
          </w:p>
        </w:tc>
      </w:tr>
      <w:tr w14:paraId="2AA60A1D">
        <w:tblPrEx>
          <w:tblCellMar>
            <w:top w:w="0" w:type="dxa"/>
            <w:left w:w="108" w:type="dxa"/>
            <w:bottom w:w="0" w:type="dxa"/>
            <w:right w:w="108" w:type="dxa"/>
          </w:tblCellMar>
        </w:tblPrEx>
        <w:trPr>
          <w:trHeight w:val="646" w:hRule="exact"/>
          <w:jc w:val="center"/>
        </w:trPr>
        <w:tc>
          <w:tcPr>
            <w:tcW w:w="4269" w:type="dxa"/>
            <w:noWrap w:val="0"/>
            <w:vAlign w:val="center"/>
          </w:tcPr>
          <w:p w14:paraId="44D2832C">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法定代表人： </w:t>
            </w:r>
          </w:p>
        </w:tc>
        <w:tc>
          <w:tcPr>
            <w:tcW w:w="4270" w:type="dxa"/>
            <w:noWrap w:val="0"/>
            <w:vAlign w:val="center"/>
          </w:tcPr>
          <w:p w14:paraId="0F8DC06A">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法定代表人：</w:t>
            </w:r>
          </w:p>
        </w:tc>
      </w:tr>
      <w:tr w14:paraId="685EC463">
        <w:tblPrEx>
          <w:tblCellMar>
            <w:top w:w="0" w:type="dxa"/>
            <w:left w:w="108" w:type="dxa"/>
            <w:bottom w:w="0" w:type="dxa"/>
            <w:right w:w="108" w:type="dxa"/>
          </w:tblCellMar>
        </w:tblPrEx>
        <w:trPr>
          <w:trHeight w:val="646" w:hRule="exact"/>
          <w:jc w:val="center"/>
        </w:trPr>
        <w:tc>
          <w:tcPr>
            <w:tcW w:w="4269" w:type="dxa"/>
            <w:noWrap w:val="0"/>
            <w:vAlign w:val="center"/>
          </w:tcPr>
          <w:p w14:paraId="686ED213">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c>
          <w:tcPr>
            <w:tcW w:w="4270" w:type="dxa"/>
            <w:noWrap w:val="0"/>
            <w:vAlign w:val="center"/>
          </w:tcPr>
          <w:p w14:paraId="5EF84EA8">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r>
      <w:tr w14:paraId="049CB381">
        <w:tblPrEx>
          <w:tblCellMar>
            <w:top w:w="0" w:type="dxa"/>
            <w:left w:w="108" w:type="dxa"/>
            <w:bottom w:w="0" w:type="dxa"/>
            <w:right w:w="108" w:type="dxa"/>
          </w:tblCellMar>
        </w:tblPrEx>
        <w:trPr>
          <w:trHeight w:val="646" w:hRule="exact"/>
          <w:jc w:val="center"/>
        </w:trPr>
        <w:tc>
          <w:tcPr>
            <w:tcW w:w="4269" w:type="dxa"/>
            <w:noWrap w:val="0"/>
            <w:vAlign w:val="center"/>
          </w:tcPr>
          <w:p w14:paraId="741961FA">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c>
          <w:tcPr>
            <w:tcW w:w="4270" w:type="dxa"/>
            <w:noWrap w:val="0"/>
            <w:vAlign w:val="center"/>
          </w:tcPr>
          <w:p w14:paraId="22609F43">
            <w:pPr>
              <w:keepNext w:val="0"/>
              <w:keepLines w:val="0"/>
              <w:pageBreakBefore w:val="0"/>
              <w:kinsoku/>
              <w:topLinePunct w:val="0"/>
              <w:autoSpaceDE w:val="0"/>
              <w:autoSpaceDN w:val="0"/>
              <w:bidi w:val="0"/>
              <w:adjustRightInd w:val="0"/>
              <w:snapToGrid w:val="0"/>
              <w:spacing w:line="576" w:lineRule="exact"/>
              <w:ind w:left="840" w:hanging="600" w:hangingChars="3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r>
      <w:tr w14:paraId="714716B3">
        <w:tblPrEx>
          <w:tblCellMar>
            <w:top w:w="0" w:type="dxa"/>
            <w:left w:w="108" w:type="dxa"/>
            <w:bottom w:w="0" w:type="dxa"/>
            <w:right w:w="108" w:type="dxa"/>
          </w:tblCellMar>
        </w:tblPrEx>
        <w:trPr>
          <w:trHeight w:val="646" w:hRule="exact"/>
          <w:jc w:val="center"/>
        </w:trPr>
        <w:tc>
          <w:tcPr>
            <w:tcW w:w="4269" w:type="dxa"/>
            <w:noWrap w:val="0"/>
            <w:vAlign w:val="center"/>
          </w:tcPr>
          <w:p w14:paraId="00185551">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c>
          <w:tcPr>
            <w:tcW w:w="4270" w:type="dxa"/>
            <w:noWrap w:val="0"/>
            <w:vAlign w:val="center"/>
          </w:tcPr>
          <w:p w14:paraId="635534E5">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r>
      <w:tr w14:paraId="64ED7364">
        <w:tblPrEx>
          <w:tblCellMar>
            <w:top w:w="0" w:type="dxa"/>
            <w:left w:w="108" w:type="dxa"/>
            <w:bottom w:w="0" w:type="dxa"/>
            <w:right w:w="108" w:type="dxa"/>
          </w:tblCellMar>
        </w:tblPrEx>
        <w:trPr>
          <w:trHeight w:val="646" w:hRule="exact"/>
          <w:jc w:val="center"/>
        </w:trPr>
        <w:tc>
          <w:tcPr>
            <w:tcW w:w="4269" w:type="dxa"/>
            <w:noWrap w:val="0"/>
            <w:vAlign w:val="center"/>
          </w:tcPr>
          <w:p w14:paraId="6C182F3D">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c>
          <w:tcPr>
            <w:tcW w:w="4270" w:type="dxa"/>
            <w:noWrap w:val="0"/>
            <w:vAlign w:val="center"/>
          </w:tcPr>
          <w:p w14:paraId="5D33B326">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r>
      <w:tr w14:paraId="7C5EED3D">
        <w:tblPrEx>
          <w:tblCellMar>
            <w:top w:w="0" w:type="dxa"/>
            <w:left w:w="108" w:type="dxa"/>
            <w:bottom w:w="0" w:type="dxa"/>
            <w:right w:w="108" w:type="dxa"/>
          </w:tblCellMar>
        </w:tblPrEx>
        <w:trPr>
          <w:trHeight w:val="646" w:hRule="exact"/>
          <w:jc w:val="center"/>
        </w:trPr>
        <w:tc>
          <w:tcPr>
            <w:tcW w:w="4269" w:type="dxa"/>
            <w:noWrap w:val="0"/>
            <w:vAlign w:val="center"/>
          </w:tcPr>
          <w:p w14:paraId="379F0DB6">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c>
          <w:tcPr>
            <w:tcW w:w="4270" w:type="dxa"/>
            <w:noWrap w:val="0"/>
            <w:vAlign w:val="center"/>
          </w:tcPr>
          <w:p w14:paraId="17BF8EEC">
            <w:pPr>
              <w:keepNext w:val="0"/>
              <w:keepLines w:val="0"/>
              <w:pageBreakBefore w:val="0"/>
              <w:kinsoku/>
              <w:topLinePunct w:val="0"/>
              <w:autoSpaceDE w:val="0"/>
              <w:autoSpaceDN w:val="0"/>
              <w:bidi w:val="0"/>
              <w:adjustRightInd w:val="0"/>
              <w:snapToGrid w:val="0"/>
              <w:spacing w:line="576" w:lineRule="exact"/>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r>
    </w:tbl>
    <w:p w14:paraId="3526570D">
      <w:pPr>
        <w:pStyle w:val="26"/>
      </w:pPr>
    </w:p>
    <w:p w14:paraId="63D69356">
      <w:bookmarkStart w:id="0" w:name="_GoBack"/>
      <w:bookmarkEnd w:id="0"/>
    </w:p>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A8D1AD4-A712-4E9A-A575-40A871E36C51}"/>
  </w:font>
  <w:font w:name="黑体">
    <w:panose1 w:val="02010609060101010101"/>
    <w:charset w:val="86"/>
    <w:family w:val="auto"/>
    <w:pitch w:val="default"/>
    <w:sig w:usb0="800002BF" w:usb1="38CF7CFA" w:usb2="00000016" w:usb3="00000000" w:csb0="00040001" w:csb1="00000000"/>
    <w:embedRegular r:id="rId2" w:fontKey="{7DE6F830-C36B-4D48-BBA0-2438D26B44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3E00B2A3-D5C6-46D6-A917-079BBFBD306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4" w:fontKey="{D6AFE7F2-95A0-485D-A011-D99578BA5C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3821">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C6CD4D7">
                <w:pPr>
                  <w:pStyle w:val="9"/>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A00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441DD0"/>
    <w:multiLevelType w:val="multilevel"/>
    <w:tmpl w:val="1F441DD0"/>
    <w:lvl w:ilvl="0" w:tentative="0">
      <w:start w:val="1"/>
      <w:numFmt w:val="chineseCounting"/>
      <w:suff w:val="nothing"/>
      <w:lvlText w:val="%1、"/>
      <w:lvlJc w:val="left"/>
      <w:pPr>
        <w:ind w:left="0" w:firstLine="0"/>
      </w:pPr>
      <w:rPr>
        <w:rFonts w:hint="eastAsia"/>
      </w:rPr>
    </w:lvl>
    <w:lvl w:ilvl="1" w:tentative="0">
      <w:start w:val="1"/>
      <w:numFmt w:val="chineseCounting"/>
      <w:pStyle w:val="2"/>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3"/>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JhNzdmOTM5YmVkNWYxMDI1ZDJkZDk5YzNhZTc2YzA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71938B9"/>
    <w:rsid w:val="084D0E0E"/>
    <w:rsid w:val="0CF24C32"/>
    <w:rsid w:val="0EBB3568"/>
    <w:rsid w:val="0EC60B07"/>
    <w:rsid w:val="10332904"/>
    <w:rsid w:val="10CF4970"/>
    <w:rsid w:val="10F63A27"/>
    <w:rsid w:val="172B4FA4"/>
    <w:rsid w:val="192A37C4"/>
    <w:rsid w:val="198577DD"/>
    <w:rsid w:val="19966094"/>
    <w:rsid w:val="1AC313E2"/>
    <w:rsid w:val="1CA80820"/>
    <w:rsid w:val="1D6E70FD"/>
    <w:rsid w:val="1F004038"/>
    <w:rsid w:val="21665943"/>
    <w:rsid w:val="22C514F9"/>
    <w:rsid w:val="244871F4"/>
    <w:rsid w:val="25295AB7"/>
    <w:rsid w:val="274E2D73"/>
    <w:rsid w:val="27EF733B"/>
    <w:rsid w:val="28961ECA"/>
    <w:rsid w:val="292902AA"/>
    <w:rsid w:val="29993056"/>
    <w:rsid w:val="29BB6BC2"/>
    <w:rsid w:val="2F1025C8"/>
    <w:rsid w:val="30104537"/>
    <w:rsid w:val="313868D1"/>
    <w:rsid w:val="325B49C3"/>
    <w:rsid w:val="326A7D77"/>
    <w:rsid w:val="33EF3E56"/>
    <w:rsid w:val="380F0B49"/>
    <w:rsid w:val="39094D4C"/>
    <w:rsid w:val="3C535AAA"/>
    <w:rsid w:val="3CCE5611"/>
    <w:rsid w:val="3CE71A85"/>
    <w:rsid w:val="412A6A1E"/>
    <w:rsid w:val="412F6352"/>
    <w:rsid w:val="414032D5"/>
    <w:rsid w:val="463505D8"/>
    <w:rsid w:val="4C057499"/>
    <w:rsid w:val="4EC118A7"/>
    <w:rsid w:val="4FDA2485"/>
    <w:rsid w:val="52F02FE4"/>
    <w:rsid w:val="54F63A8A"/>
    <w:rsid w:val="58256712"/>
    <w:rsid w:val="5C7E1FD1"/>
    <w:rsid w:val="5D3B49BA"/>
    <w:rsid w:val="5F495382"/>
    <w:rsid w:val="60E414E6"/>
    <w:rsid w:val="61DE6FB3"/>
    <w:rsid w:val="61E5759F"/>
    <w:rsid w:val="696F3399"/>
    <w:rsid w:val="6A312BC3"/>
    <w:rsid w:val="6B882AFB"/>
    <w:rsid w:val="734E36BE"/>
    <w:rsid w:val="736126B3"/>
    <w:rsid w:val="741C09D0"/>
    <w:rsid w:val="74343D24"/>
    <w:rsid w:val="764F97C9"/>
    <w:rsid w:val="78C53AE4"/>
    <w:rsid w:val="7C9A4D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0"/>
    <w:pPr>
      <w:keepNext/>
      <w:numPr>
        <w:ilvl w:val="1"/>
        <w:numId w:val="1"/>
      </w:numPr>
      <w:spacing w:line="700" w:lineRule="exact"/>
      <w:outlineLvl w:val="1"/>
    </w:pPr>
    <w:rPr>
      <w:rFonts w:ascii="黑体" w:hAnsi="黑体" w:eastAsia="宋体"/>
      <w:b/>
      <w:sz w:val="44"/>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7">
    <w:name w:val="Default Paragraph Font"/>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Body Text"/>
    <w:basedOn w:val="1"/>
    <w:autoRedefine/>
    <w:qFormat/>
    <w:uiPriority w:val="99"/>
    <w:pPr>
      <w:jc w:val="left"/>
    </w:pPr>
    <w:rPr>
      <w:kern w:val="0"/>
    </w:rPr>
  </w:style>
  <w:style w:type="paragraph" w:styleId="7">
    <w:name w:val="Plain Text"/>
    <w:basedOn w:val="1"/>
    <w:autoRedefine/>
    <w:qFormat/>
    <w:uiPriority w:val="0"/>
    <w:rPr>
      <w:rFonts w:ascii="宋体" w:hAnsi="Courier New"/>
      <w:kern w:val="0"/>
      <w:sz w:val="20"/>
    </w:rPr>
  </w:style>
  <w:style w:type="paragraph" w:styleId="8">
    <w:name w:val="Balloon Text"/>
    <w:basedOn w:val="1"/>
    <w:link w:val="22"/>
    <w:autoRedefine/>
    <w:qFormat/>
    <w:uiPriority w:val="0"/>
    <w:rPr>
      <w:sz w:val="18"/>
      <w:szCs w:val="18"/>
    </w:rPr>
  </w:style>
  <w:style w:type="paragraph" w:styleId="9">
    <w:name w:val="footer"/>
    <w:basedOn w:val="1"/>
    <w:autoRedefine/>
    <w:qFormat/>
    <w:uiPriority w:val="0"/>
    <w:pPr>
      <w:tabs>
        <w:tab w:val="center" w:pos="4140"/>
        <w:tab w:val="right" w:pos="8300"/>
      </w:tabs>
      <w:snapToGrid w:val="0"/>
      <w:jc w:val="left"/>
    </w:pPr>
    <w:rPr>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6"/>
    <w:basedOn w:val="1"/>
    <w:next w:val="1"/>
    <w:qFormat/>
    <w:uiPriority w:val="0"/>
    <w:pPr>
      <w:widowControl w:val="0"/>
      <w:ind w:left="1200"/>
      <w:jc w:val="left"/>
    </w:pPr>
    <w:rPr>
      <w:rFonts w:ascii="Calibri" w:hAnsi="Times New Roman" w:eastAsia="仿宋_GB2312" w:cs="Times New Roman"/>
      <w:kern w:val="2"/>
      <w:sz w:val="18"/>
      <w:szCs w:val="18"/>
      <w:lang w:val="en-US" w:eastAsia="zh-CN" w:bidi="ar-SA"/>
    </w:rPr>
  </w:style>
  <w:style w:type="paragraph" w:styleId="1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3">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4">
    <w:name w:val="Body Text First Indent"/>
    <w:basedOn w:val="6"/>
    <w:next w:val="11"/>
    <w:autoRedefine/>
    <w:qFormat/>
    <w:uiPriority w:val="0"/>
    <w:pPr>
      <w:spacing w:line="360" w:lineRule="auto"/>
      <w:ind w:firstLine="420"/>
    </w:pPr>
    <w:rPr>
      <w:rFonts w:ascii="宋体" w:hAnsi="宋体"/>
      <w:sz w:val="24"/>
    </w:rPr>
  </w:style>
  <w:style w:type="table" w:styleId="16">
    <w:name w:val="Table Grid"/>
    <w:basedOn w:val="1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basedOn w:val="17"/>
    <w:autoRedefine/>
    <w:qFormat/>
    <w:uiPriority w:val="0"/>
    <w:rPr>
      <w:sz w:val="21"/>
      <w:szCs w:val="21"/>
    </w:rPr>
  </w:style>
  <w:style w:type="paragraph" w:customStyle="1" w:styleId="19">
    <w:name w:val="标题 5（有编号）（绿盟科技）"/>
    <w:basedOn w:val="1"/>
    <w:next w:val="20"/>
    <w:qFormat/>
    <w:uiPriority w:val="0"/>
    <w:pPr>
      <w:keepNext/>
      <w:keepLines/>
      <w:numPr>
        <w:ilvl w:val="4"/>
        <w:numId w:val="2"/>
      </w:numPr>
      <w:spacing w:before="280" w:after="156" w:line="377" w:lineRule="auto"/>
      <w:jc w:val="left"/>
      <w:outlineLvl w:val="4"/>
    </w:pPr>
    <w:rPr>
      <w:rFonts w:ascii="Arial" w:hAnsi="Arial" w:eastAsia="黑体" w:cs="黑体"/>
      <w:b/>
      <w:kern w:val="0"/>
      <w:sz w:val="24"/>
      <w:szCs w:val="28"/>
    </w:rPr>
  </w:style>
  <w:style w:type="paragraph" w:customStyle="1" w:styleId="20">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21">
    <w:name w:val="页眉 Char"/>
    <w:basedOn w:val="17"/>
    <w:link w:val="10"/>
    <w:autoRedefine/>
    <w:qFormat/>
    <w:uiPriority w:val="0"/>
    <w:rPr>
      <w:kern w:val="2"/>
      <w:sz w:val="18"/>
      <w:szCs w:val="18"/>
    </w:rPr>
  </w:style>
  <w:style w:type="character" w:customStyle="1" w:styleId="22">
    <w:name w:val="批注框文本 Char"/>
    <w:basedOn w:val="17"/>
    <w:link w:val="8"/>
    <w:autoRedefine/>
    <w:qFormat/>
    <w:uiPriority w:val="0"/>
    <w:rPr>
      <w:kern w:val="2"/>
      <w:sz w:val="18"/>
      <w:szCs w:val="18"/>
    </w:rPr>
  </w:style>
  <w:style w:type="paragraph" w:customStyle="1" w:styleId="23">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5">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2269</Words>
  <Characters>2291</Characters>
  <Lines>23</Lines>
  <Paragraphs>6</Paragraphs>
  <TotalTime>0</TotalTime>
  <ScaleCrop>false</ScaleCrop>
  <LinksUpToDate>false</LinksUpToDate>
  <CharactersWithSpaces>2406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2025-06-26T05:27:00Z</cp:lastPrinted>
  <dcterms:modified xsi:type="dcterms:W3CDTF">2026-01-08T07:34:04Z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E79E879024B94D3FB100E7468F0D228F</vt:lpwstr>
  </property>
  <property fmtid="{D5CDD505-2E9C-101B-9397-08002B2CF9AE}" pid="4" name="KSOTemplateDocerSaveRecord">
    <vt:lpwstr>eyJoZGlkIjoiNzlkYjQxZmY4MWQ0ZWY2YTZhOTY1MTMyMDgzMmE0NmEiLCJ1c2VySWQiOiI5MzY1NjA0ODAifQ==</vt:lpwstr>
  </property>
</Properties>
</file>