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版本号：ZSHZB-2026-23520260223001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后勤服务外包</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ZSHZB-2026-235</w:t>
      </w:r>
      <w:r>
        <w:br/>
      </w:r>
      <w:r>
        <w:br/>
      </w:r>
      <w:r>
        <w:br/>
      </w:r>
    </w:p>
    <w:p>
      <w:pPr>
        <w:pStyle w:val="null3"/>
        <w:jc w:val="center"/>
        <w:outlineLvl w:val="2"/>
      </w:pPr>
      <w:r>
        <w:rPr>
          <w:rFonts w:ascii="仿宋_GB2312" w:hAnsi="仿宋_GB2312" w:cs="仿宋_GB2312" w:eastAsia="仿宋_GB2312"/>
          <w:sz w:val="28"/>
          <w:b/>
        </w:rPr>
        <w:t>西安高新区第六学校</w:t>
      </w:r>
    </w:p>
    <w:p>
      <w:pPr>
        <w:pStyle w:val="null3"/>
        <w:jc w:val="center"/>
        <w:outlineLvl w:val="2"/>
      </w:pPr>
      <w:r>
        <w:rPr>
          <w:rFonts w:ascii="仿宋_GB2312" w:hAnsi="仿宋_GB2312" w:cs="仿宋_GB2312" w:eastAsia="仿宋_GB2312"/>
          <w:sz w:val="28"/>
          <w:b/>
        </w:rPr>
        <w:t>陕西中盛禾项目咨询有限公司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陕西中盛禾项目咨询有限公司</w:t>
      </w:r>
      <w:r>
        <w:rPr>
          <w:rFonts w:ascii="仿宋_GB2312" w:hAnsi="仿宋_GB2312" w:cs="仿宋_GB2312" w:eastAsia="仿宋_GB2312"/>
        </w:rPr>
        <w:t>（以下简称“代理机构”）受</w:t>
      </w:r>
      <w:r>
        <w:rPr>
          <w:rFonts w:ascii="仿宋_GB2312" w:hAnsi="仿宋_GB2312" w:cs="仿宋_GB2312" w:eastAsia="仿宋_GB2312"/>
        </w:rPr>
        <w:t>西安高新区第六学校</w:t>
      </w:r>
      <w:r>
        <w:rPr>
          <w:rFonts w:ascii="仿宋_GB2312" w:hAnsi="仿宋_GB2312" w:cs="仿宋_GB2312" w:eastAsia="仿宋_GB2312"/>
        </w:rPr>
        <w:t>委托，拟对</w:t>
      </w:r>
      <w:r>
        <w:rPr>
          <w:rFonts w:ascii="仿宋_GB2312" w:hAnsi="仿宋_GB2312" w:cs="仿宋_GB2312" w:eastAsia="仿宋_GB2312"/>
        </w:rPr>
        <w:t>后勤服务外包</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ZSHZB-2026-235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后勤服务外包</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后勤服务外包</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采购包1（后勤服务外包）：属于专门面向中小企业采购。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人授权委托书：法定代表人直接参加磋商的，须出具法定代表人身份证明及法人身份证；法定代表人授权代表参加磋商的，须出具法定代表人授权委托书和被授权人身份证；注：被授权人参与磋商时，须提供被授权人响应文件递交截止时间前六个月内任意一个月在本单位缴纳的社保证明；</w:t>
      </w:r>
    </w:p>
    <w:p>
      <w:pPr>
        <w:pStyle w:val="null3"/>
      </w:pPr>
      <w:r>
        <w:rPr>
          <w:rFonts w:ascii="仿宋_GB2312" w:hAnsi="仿宋_GB2312" w:cs="仿宋_GB2312" w:eastAsia="仿宋_GB2312"/>
        </w:rPr>
        <w:t>2、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3、非联合体声明：本项目不接受联合体磋商。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西安高新区第六学校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西安高新技术产业开发区集贤产业园振兴路以北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穆老师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029-86130877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陕西中盛禾项目咨询有限公司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西安市雁塔区太白南路上上国际2310</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13991144292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采购包1：714,000.00元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的计算方法：参考《国家计委关于印发&lt;招标代理服务收费管理暂行办法&gt;的通知》（计价格【2002】1980号）及《国家发改委关于降低部分建设项目收费标准规范收费行为等有关问题的通知》（发改价格[2011]534号）规定按标准收取。 2、成交单位在领取成交通知书前，须向采购代理机构一次性支付采购代理服务费。 3、招标代理服务费缴纳信息：银行户名：陕西中盛禾项目咨询有限公司 开户行名称：交通银行股份有限公司西安大雁塔支行 账 号：611301053013002029330 联 系人：李工 联系电话：029-89380900</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西安高新区第六学校</w:t>
      </w:r>
      <w:r>
        <w:rPr>
          <w:rFonts w:ascii="仿宋_GB2312" w:hAnsi="仿宋_GB2312" w:cs="仿宋_GB2312" w:eastAsia="仿宋_GB2312"/>
        </w:rPr>
        <w:t>和</w:t>
      </w:r>
      <w:r>
        <w:rPr>
          <w:rFonts w:ascii="仿宋_GB2312" w:hAnsi="仿宋_GB2312" w:cs="仿宋_GB2312" w:eastAsia="仿宋_GB2312"/>
        </w:rPr>
        <w:t>陕西中盛禾项目咨询有限公司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西安高新区第六学校</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陕西中盛禾项目咨询有限公司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西安高新区第六学校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陕西中盛禾项目咨询有限公司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陕西中盛禾项目咨询有限公司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陕西中盛禾项目咨询有限公司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陕西中盛禾项目咨询有限公司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联系人：李工</w:t>
      </w:r>
    </w:p>
    <w:p>
      <w:pPr>
        <w:pStyle w:val="null3"/>
      </w:pPr>
      <w:r>
        <w:rPr>
          <w:rFonts w:ascii="仿宋_GB2312" w:hAnsi="仿宋_GB2312" w:cs="仿宋_GB2312" w:eastAsia="仿宋_GB2312"/>
        </w:rPr>
        <w:t>联系电话：13991144292</w:t>
      </w:r>
    </w:p>
    <w:p>
      <w:pPr>
        <w:pStyle w:val="null3"/>
      </w:pPr>
      <w:r>
        <w:rPr>
          <w:rFonts w:ascii="仿宋_GB2312" w:hAnsi="仿宋_GB2312" w:cs="仿宋_GB2312" w:eastAsia="仿宋_GB2312"/>
        </w:rPr>
        <w:t>地址：西安市雁塔区太白南路上上国际2310室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后勤服务外包</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714,000.00</w:t>
      </w:r>
    </w:p>
    <w:p>
      <w:pPr>
        <w:pStyle w:val="null3"/>
      </w:pPr>
      <w:r>
        <w:rPr>
          <w:rFonts w:ascii="仿宋_GB2312" w:hAnsi="仿宋_GB2312" w:cs="仿宋_GB2312" w:eastAsia="仿宋_GB2312"/>
        </w:rPr>
        <w:t>采购包最高限价（元）: 714,000.00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后勤服务外包</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714,000.00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物业管理</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标的名称：后勤服务外包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西安高新区第六学校后勤服务外包</w:t>
            </w:r>
            <w:r>
              <w:rPr>
                <w:rFonts w:ascii="仿宋_GB2312" w:hAnsi="仿宋_GB2312" w:cs="仿宋_GB2312" w:eastAsia="仿宋_GB2312"/>
                <w:sz w:val="21"/>
              </w:rPr>
              <w:t>项目为保障校园正常教学、办公及师生生活秩序，筑牢校园安全防线，确保后勤服务高效、优质、合规落地。后勤服务内容主要涉及学校所有区域（校内全域、校园所有出入口、校园周边）的安保、消防巡检、清洁、设备及水电、供暖保障等内容。</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 xml:space="preserve"> 一、</w:t>
            </w:r>
            <w:r>
              <w:rPr>
                <w:rFonts w:ascii="仿宋_GB2312" w:hAnsi="仿宋_GB2312" w:cs="仿宋_GB2312" w:eastAsia="仿宋_GB2312"/>
                <w:b/>
              </w:rPr>
              <w:t>人员配置服务要求</w:t>
            </w:r>
          </w:p>
          <w:p>
            <w:pPr>
              <w:pStyle w:val="null3"/>
            </w:pPr>
            <w:r>
              <w:rPr>
                <w:rFonts w:ascii="仿宋_GB2312" w:hAnsi="仿宋_GB2312" w:cs="仿宋_GB2312" w:eastAsia="仿宋_GB2312"/>
              </w:rPr>
              <w:t>人员配备要求：配置专业服务团队，共计</w:t>
            </w:r>
            <w:r>
              <w:rPr>
                <w:rFonts w:ascii="仿宋_GB2312" w:hAnsi="仿宋_GB2312" w:cs="仿宋_GB2312" w:eastAsia="仿宋_GB2312"/>
              </w:rPr>
              <w:t>17人（项目负责人1名、管理人员1名、保安人员5名、保洁人员8名、维修人员2名）。</w:t>
            </w:r>
          </w:p>
          <w:p>
            <w:pPr>
              <w:pStyle w:val="null3"/>
            </w:pPr>
            <w:r>
              <w:rPr>
                <w:rFonts w:ascii="仿宋_GB2312" w:hAnsi="仿宋_GB2312" w:cs="仿宋_GB2312" w:eastAsia="仿宋_GB2312"/>
              </w:rPr>
              <w:t>项目负责人</w:t>
            </w:r>
            <w:r>
              <w:rPr>
                <w:rFonts w:ascii="仿宋_GB2312" w:hAnsi="仿宋_GB2312" w:cs="仿宋_GB2312" w:eastAsia="仿宋_GB2312"/>
              </w:rPr>
              <w:t>：具备校园后勤项目相关管理经验，无违法犯罪记录，熟悉中小学后勤服务流程及相关规范。需全程统筹项目服务工作，精准对接采购人相关部门，制定服务计划、应急预案及整改方案，监督各岗位履职情况，定期提交服务总结，对整体服务质量负总责，确保服务贴合校园需求。</w:t>
            </w:r>
          </w:p>
          <w:p>
            <w:pPr>
              <w:pStyle w:val="null3"/>
            </w:pPr>
            <w:r>
              <w:rPr>
                <w:rFonts w:ascii="仿宋_GB2312" w:hAnsi="仿宋_GB2312" w:cs="仿宋_GB2312" w:eastAsia="仿宋_GB2312"/>
              </w:rPr>
              <w:t>管理人员</w:t>
            </w:r>
            <w:r>
              <w:rPr>
                <w:rFonts w:ascii="仿宋_GB2312" w:hAnsi="仿宋_GB2312" w:cs="仿宋_GB2312" w:eastAsia="仿宋_GB2312"/>
              </w:rPr>
              <w:t>：具备后勤管理相关资质或同等工作经验，熟练掌握人员排班、台账管理、物资调配及意见收集处理技能。协助项目负责人开展日常运营管理，落实采购人各项工作要求，衔接各服务岗位，及时反馈师生诉求并推动整改，保障服务高效有序运转。</w:t>
            </w:r>
            <w:r>
              <w:br/>
            </w:r>
            <w:r>
              <w:rPr>
                <w:rFonts w:ascii="仿宋_GB2312" w:hAnsi="仿宋_GB2312" w:cs="仿宋_GB2312" w:eastAsia="仿宋_GB2312"/>
              </w:rPr>
              <w:t>保安人员：年龄不超过</w:t>
            </w:r>
            <w:r>
              <w:rPr>
                <w:rFonts w:ascii="仿宋_GB2312" w:hAnsi="仿宋_GB2312" w:cs="仿宋_GB2312" w:eastAsia="仿宋_GB2312"/>
              </w:rPr>
              <w:t>55周岁，身体健康，持有效保安证上岗，无不良从业记录及违法犯罪史。实行24小时轮班值守，严格执行校门进出管控、校园巡逻、秩序维护等工作，重点排查安全隐患，处置突发安全事件，保障校园人员及财产安全，配合采购人开展安全宣传及应急演练。</w:t>
            </w:r>
          </w:p>
          <w:p>
            <w:pPr>
              <w:pStyle w:val="null3"/>
            </w:pPr>
            <w:r>
              <w:rPr>
                <w:rFonts w:ascii="仿宋_GB2312" w:hAnsi="仿宋_GB2312" w:cs="仿宋_GB2312" w:eastAsia="仿宋_GB2312"/>
              </w:rPr>
              <w:t>保洁人员</w:t>
            </w:r>
            <w:r>
              <w:rPr>
                <w:rFonts w:ascii="仿宋_GB2312" w:hAnsi="仿宋_GB2312" w:cs="仿宋_GB2312" w:eastAsia="仿宋_GB2312"/>
              </w:rPr>
              <w:t>：身体健康，具备相应保洁服务经验，熟悉校园公共区域清扫、消毒消杀流程。负责校内教学楼、办公楼、操场、绿化带、卫生间等公共区域的日常清扫、垃圾清运及消毒工作，做到卫生无死角、环境无异味，按要求开展定期大扫除及季节性保洁工作，助力美丽校园建设。</w:t>
            </w:r>
          </w:p>
          <w:p>
            <w:pPr>
              <w:pStyle w:val="null3"/>
            </w:pPr>
            <w:r>
              <w:rPr>
                <w:rFonts w:ascii="仿宋_GB2312" w:hAnsi="仿宋_GB2312" w:cs="仿宋_GB2312" w:eastAsia="仿宋_GB2312"/>
              </w:rPr>
              <w:t>维修人员</w:t>
            </w:r>
            <w:r>
              <w:rPr>
                <w:rFonts w:ascii="仿宋_GB2312" w:hAnsi="仿宋_GB2312" w:cs="仿宋_GB2312" w:eastAsia="仿宋_GB2312"/>
              </w:rPr>
              <w:t>：持有效电工证、水暖工证等对应工种资格证，具备校园设施相关维修经验。实行</w:t>
            </w:r>
            <w:r>
              <w:rPr>
                <w:rFonts w:ascii="仿宋_GB2312" w:hAnsi="仿宋_GB2312" w:cs="仿宋_GB2312" w:eastAsia="仿宋_GB2312"/>
              </w:rPr>
              <w:t>24小时应急响应，负责校内水电、门窗、照明、消防设施、体育器材等基础设施的日常巡检、维修及保养工作，确保设施正常运行，建立完整维修台账，保障校园基础硬件稳定。</w:t>
            </w:r>
          </w:p>
          <w:p>
            <w:pPr>
              <w:pStyle w:val="null3"/>
            </w:pPr>
            <w:r>
              <w:rPr>
                <w:rFonts w:ascii="仿宋_GB2312" w:hAnsi="仿宋_GB2312" w:cs="仿宋_GB2312" w:eastAsia="仿宋_GB2312"/>
              </w:rPr>
              <w:t>备注：供应商需承诺所有服务人员经采购人审核通过后方可上岗，上岗前完成专项培训（含校园服务规范、安全管理要求等），统一着装、佩戴工牌，遵守采购人各项管理制度，接受采购人监督考核，人员调整需提前</w:t>
            </w:r>
            <w:r>
              <w:rPr>
                <w:rFonts w:ascii="仿宋_GB2312" w:hAnsi="仿宋_GB2312" w:cs="仿宋_GB2312" w:eastAsia="仿宋_GB2312"/>
              </w:rPr>
              <w:t>7个工作日书面告知采购人并经同意。</w:t>
            </w:r>
          </w:p>
          <w:p>
            <w:pPr>
              <w:pStyle w:val="null3"/>
            </w:pPr>
            <w:r>
              <w:rPr>
                <w:rFonts w:ascii="仿宋_GB2312" w:hAnsi="仿宋_GB2312" w:cs="仿宋_GB2312" w:eastAsia="仿宋_GB2312"/>
              </w:rPr>
              <w:t>二、</w:t>
            </w:r>
            <w:r>
              <w:rPr>
                <w:rFonts w:ascii="仿宋_GB2312" w:hAnsi="仿宋_GB2312" w:cs="仿宋_GB2312" w:eastAsia="仿宋_GB2312"/>
                <w:b/>
              </w:rPr>
              <w:t>具体服务内容</w:t>
            </w:r>
          </w:p>
          <w:p>
            <w:pPr>
              <w:pStyle w:val="null3"/>
            </w:pPr>
            <w:r>
              <w:rPr>
                <w:rFonts w:ascii="仿宋_GB2312" w:hAnsi="仿宋_GB2312" w:cs="仿宋_GB2312" w:eastAsia="仿宋_GB2312"/>
              </w:rPr>
              <w:t>（一）</w:t>
            </w:r>
            <w:r>
              <w:rPr>
                <w:rFonts w:ascii="仿宋_GB2312" w:hAnsi="仿宋_GB2312" w:cs="仿宋_GB2312" w:eastAsia="仿宋_GB2312"/>
              </w:rPr>
              <w:t>安保及消防巡检</w:t>
            </w:r>
          </w:p>
          <w:p>
            <w:pPr>
              <w:pStyle w:val="null3"/>
              <w:ind w:firstLine="400"/>
            </w:pPr>
            <w:r>
              <w:rPr>
                <w:rFonts w:ascii="仿宋_GB2312" w:hAnsi="仿宋_GB2312" w:cs="仿宋_GB2312" w:eastAsia="仿宋_GB2312"/>
              </w:rPr>
              <w:t>保安岗位须实行</w:t>
            </w:r>
            <w:r>
              <w:rPr>
                <w:rFonts w:ascii="仿宋_GB2312" w:hAnsi="仿宋_GB2312" w:cs="仿宋_GB2312" w:eastAsia="仿宋_GB2312"/>
              </w:rPr>
              <w:t>24小时三班倒值守制度，严格管控校园出入口，全面落实人员、车辆进出登记流程，坚决杜绝无关人员、危险物品进入校园，确保出入口管理规范有序。每日开展全域巡逻不少于2次，针对教学楼、宿舍、食堂、配电室等重点区域，须适当增加巡逻频次，巡逻路线、时间、具体情况须详细记录归档，校方有权随时查阅核实。</w:t>
            </w:r>
          </w:p>
          <w:p>
            <w:pPr>
              <w:pStyle w:val="null3"/>
              <w:ind w:firstLine="400"/>
            </w:pPr>
            <w:r>
              <w:rPr>
                <w:rFonts w:ascii="仿宋_GB2312" w:hAnsi="仿宋_GB2312" w:cs="仿宋_GB2312" w:eastAsia="仿宋_GB2312"/>
              </w:rPr>
              <w:t>消防设施日常巡检须常态化推进，每周由</w:t>
            </w:r>
            <w:r>
              <w:rPr>
                <w:rFonts w:ascii="仿宋_GB2312" w:hAnsi="仿宋_GB2312" w:cs="仿宋_GB2312" w:eastAsia="仿宋_GB2312"/>
              </w:rPr>
              <w:t>供应商</w:t>
            </w:r>
            <w:r>
              <w:rPr>
                <w:rFonts w:ascii="仿宋_GB2312" w:hAnsi="仿宋_GB2312" w:cs="仿宋_GB2312" w:eastAsia="仿宋_GB2312"/>
              </w:rPr>
              <w:t>管理岗完成复核工作，建立</w:t>
            </w:r>
            <w:r>
              <w:rPr>
                <w:rFonts w:ascii="仿宋_GB2312" w:hAnsi="仿宋_GB2312" w:cs="仿宋_GB2312" w:eastAsia="仿宋_GB2312"/>
              </w:rPr>
              <w:t>“巡检-发现隐患-整改-销号”的闭环管控机制，所有巡检记录、隐患整改报告须按月提交校方备案，校方将定期抽查整改落实情况，确保隐患全部清零。</w:t>
            </w:r>
          </w:p>
          <w:p>
            <w:pPr>
              <w:pStyle w:val="null3"/>
            </w:pPr>
            <w:r>
              <w:rPr>
                <w:rFonts w:ascii="仿宋_GB2312" w:hAnsi="仿宋_GB2312" w:cs="仿宋_GB2312" w:eastAsia="仿宋_GB2312"/>
              </w:rPr>
              <w:t>（二）</w:t>
            </w:r>
            <w:r>
              <w:rPr>
                <w:rFonts w:ascii="仿宋_GB2312" w:hAnsi="仿宋_GB2312" w:cs="仿宋_GB2312" w:eastAsia="仿宋_GB2312"/>
              </w:rPr>
              <w:t>清洁</w:t>
            </w:r>
          </w:p>
          <w:p>
            <w:pPr>
              <w:pStyle w:val="null3"/>
              <w:ind w:firstLine="400"/>
            </w:pPr>
            <w:r>
              <w:rPr>
                <w:rFonts w:ascii="仿宋_GB2312" w:hAnsi="仿宋_GB2312" w:cs="仿宋_GB2312" w:eastAsia="仿宋_GB2312"/>
              </w:rPr>
              <w:t>保洁岗位实行分区包干责任制，对楼道、操场、卫生间、教室等校园公共区域开展定时清扫，每日至少完成</w:t>
            </w:r>
            <w:r>
              <w:rPr>
                <w:rFonts w:ascii="仿宋_GB2312" w:hAnsi="仿宋_GB2312" w:cs="仿宋_GB2312" w:eastAsia="仿宋_GB2312"/>
              </w:rPr>
              <w:t>1次全面清洁，卫生间、食堂周边等重点区域需根据实际需求增加清洁频次；同时按校园防疫及卫生标准定期开展消毒消杀工作，消毒时间、范围、方式须清晰记录，确保全程可追溯、可核查。</w:t>
            </w:r>
          </w:p>
          <w:p>
            <w:pPr>
              <w:pStyle w:val="null3"/>
            </w:pPr>
            <w:r>
              <w:rPr>
                <w:rFonts w:ascii="仿宋_GB2312" w:hAnsi="仿宋_GB2312" w:cs="仿宋_GB2312" w:eastAsia="仿宋_GB2312"/>
              </w:rPr>
              <w:t>（三）</w:t>
            </w:r>
            <w:r>
              <w:rPr>
                <w:rFonts w:ascii="仿宋_GB2312" w:hAnsi="仿宋_GB2312" w:cs="仿宋_GB2312" w:eastAsia="仿宋_GB2312"/>
              </w:rPr>
              <w:t>设备及水电、供暖保障</w:t>
            </w:r>
          </w:p>
          <w:p>
            <w:pPr>
              <w:pStyle w:val="null3"/>
              <w:ind w:firstLine="400"/>
            </w:pPr>
            <w:r>
              <w:rPr>
                <w:rFonts w:ascii="仿宋_GB2312" w:hAnsi="仿宋_GB2312" w:cs="仿宋_GB2312" w:eastAsia="仿宋_GB2312"/>
              </w:rPr>
              <w:t>维修人员按水电运维、设施供暖进行分岗负责，每日对配电室、水泵房、供暖机房等设备间开展不少于</w:t>
            </w:r>
            <w:r>
              <w:rPr>
                <w:rFonts w:ascii="仿宋_GB2312" w:hAnsi="仿宋_GB2312" w:cs="仿宋_GB2312" w:eastAsia="仿宋_GB2312"/>
              </w:rPr>
              <w:t>2次巡检，及时排查各类安全隐患，巡检结果须详细记录归档，发现隐患立即组织处置并第一时间向校方报备。</w:t>
            </w:r>
          </w:p>
          <w:p>
            <w:pPr>
              <w:pStyle w:val="null3"/>
              <w:ind w:firstLine="400"/>
            </w:pPr>
            <w:r>
              <w:rPr>
                <w:rFonts w:ascii="仿宋_GB2312" w:hAnsi="仿宋_GB2312" w:cs="仿宋_GB2312" w:eastAsia="仿宋_GB2312"/>
              </w:rPr>
              <w:t>接到维修诉求后，须严格遵守响应时限要求：一般故障</w:t>
            </w:r>
            <w:r>
              <w:rPr>
                <w:rFonts w:ascii="仿宋_GB2312" w:hAnsi="仿宋_GB2312" w:cs="仿宋_GB2312" w:eastAsia="仿宋_GB2312"/>
              </w:rPr>
              <w:t>2小时内到场处置，停水停电、管道破裂等影响校园正常运营的紧急故障，须15分钟内到场抢修；维修完成后须经校方相关负责人签字确认，维修台账按月汇总提交校方，校方有权对维修质量进行复核，确保维修达标。</w:t>
            </w:r>
          </w:p>
          <w:p>
            <w:pPr>
              <w:pStyle w:val="null3"/>
              <w:ind w:firstLine="400"/>
            </w:pPr>
            <w:r>
              <w:rPr>
                <w:rFonts w:ascii="仿宋_GB2312" w:hAnsi="仿宋_GB2312" w:cs="仿宋_GB2312" w:eastAsia="仿宋_GB2312"/>
              </w:rPr>
              <w:t>冬季供暖期前，须完成供暖设备全面巡检调试，确保设备正常运行；快速响应并处理各类供暖故障，保障校园供暖温度达标，切实满足师生教学、生活需求。</w:t>
            </w:r>
          </w:p>
          <w:p>
            <w:pPr>
              <w:pStyle w:val="null3"/>
            </w:pPr>
            <w:r>
              <w:rPr>
                <w:rFonts w:ascii="仿宋_GB2312" w:hAnsi="仿宋_GB2312" w:cs="仿宋_GB2312" w:eastAsia="仿宋_GB2312"/>
              </w:rPr>
              <w:t>（四）</w:t>
            </w:r>
            <w:r>
              <w:rPr>
                <w:rFonts w:ascii="仿宋_GB2312" w:hAnsi="仿宋_GB2312" w:cs="仿宋_GB2312" w:eastAsia="仿宋_GB2312"/>
              </w:rPr>
              <w:t>应急处置</w:t>
            </w:r>
          </w:p>
          <w:p>
            <w:pPr>
              <w:pStyle w:val="null3"/>
              <w:ind w:firstLine="400"/>
            </w:pPr>
            <w:r>
              <w:rPr>
                <w:rFonts w:ascii="仿宋_GB2312" w:hAnsi="仿宋_GB2312" w:cs="仿宋_GB2312" w:eastAsia="仿宋_GB2312"/>
              </w:rPr>
              <w:t>供应商</w:t>
            </w:r>
            <w:r>
              <w:rPr>
                <w:rFonts w:ascii="仿宋_GB2312" w:hAnsi="仿宋_GB2312" w:cs="仿宋_GB2312" w:eastAsia="仿宋_GB2312"/>
              </w:rPr>
              <w:t>须制定覆盖火灾、水电故障、治安事件、突发公共卫生事件等全场景的应急处置流程，明确各岗位人员职责分工，报校方审核备案后严格执行，确保应急流程可操作性强、责任到人。</w:t>
            </w:r>
          </w:p>
          <w:p>
            <w:pPr>
              <w:pStyle w:val="null3"/>
              <w:ind w:firstLine="400"/>
            </w:pPr>
            <w:r>
              <w:rPr>
                <w:rFonts w:ascii="仿宋_GB2312" w:hAnsi="仿宋_GB2312" w:cs="仿宋_GB2312" w:eastAsia="仿宋_GB2312"/>
              </w:rPr>
              <w:t>发生应急事件时，</w:t>
            </w:r>
            <w:r>
              <w:rPr>
                <w:rFonts w:ascii="仿宋_GB2312" w:hAnsi="仿宋_GB2312" w:cs="仿宋_GB2312" w:eastAsia="仿宋_GB2312"/>
              </w:rPr>
              <w:t>供应商</w:t>
            </w:r>
            <w:r>
              <w:rPr>
                <w:rFonts w:ascii="仿宋_GB2312" w:hAnsi="仿宋_GB2312" w:cs="仿宋_GB2312" w:eastAsia="仿宋_GB2312"/>
              </w:rPr>
              <w:t>全员须按流程快速响应，由项目负责人统筹总调度，确保</w:t>
            </w:r>
            <w:r>
              <w:rPr>
                <w:rFonts w:ascii="仿宋_GB2312" w:hAnsi="仿宋_GB2312" w:cs="仿宋_GB2312" w:eastAsia="仿宋_GB2312"/>
              </w:rPr>
              <w:t>10分钟内到场管控事态，15分钟内以书面或口头形式上报校方；全程积极配合校方开展应急处置及善后工作，严禁拖延、隐瞒或擅自处置，最大限度降低事件影响。</w:t>
            </w:r>
          </w:p>
          <w:p>
            <w:pPr>
              <w:pStyle w:val="null3"/>
            </w:pPr>
            <w:r>
              <w:rPr>
                <w:rFonts w:ascii="仿宋_GB2312" w:hAnsi="仿宋_GB2312" w:cs="仿宋_GB2312" w:eastAsia="仿宋_GB2312"/>
                <w:b/>
              </w:rPr>
              <w:t>三、</w:t>
            </w:r>
            <w:r>
              <w:rPr>
                <w:rFonts w:ascii="仿宋_GB2312" w:hAnsi="仿宋_GB2312" w:cs="仿宋_GB2312" w:eastAsia="仿宋_GB2312"/>
                <w:b/>
              </w:rPr>
              <w:t>质量管控与监督要求</w:t>
            </w:r>
          </w:p>
          <w:p>
            <w:pPr>
              <w:pStyle w:val="null3"/>
              <w:ind w:firstLine="400"/>
            </w:pPr>
            <w:r>
              <w:rPr>
                <w:rFonts w:ascii="仿宋_GB2312" w:hAnsi="仿宋_GB2312" w:cs="仿宋_GB2312" w:eastAsia="仿宋_GB2312"/>
              </w:rPr>
              <w:t>供应商</w:t>
            </w:r>
            <w:r>
              <w:rPr>
                <w:rFonts w:ascii="仿宋_GB2312" w:hAnsi="仿宋_GB2312" w:cs="仿宋_GB2312" w:eastAsia="仿宋_GB2312"/>
              </w:rPr>
              <w:t>须严格遵守校方制定的后勤服务质量标准，核心指标须满足：全年无重大安全事故，保洁合格率</w:t>
            </w:r>
            <w:r>
              <w:rPr>
                <w:rFonts w:ascii="仿宋_GB2312" w:hAnsi="仿宋_GB2312" w:cs="仿宋_GB2312" w:eastAsia="仿宋_GB2312"/>
              </w:rPr>
              <w:t>≥98%，维修合格率100%，师生及校方满意度≥95%，校方将定期开展满意度调查及质量评估，评估结果作为服务考核核心依据。</w:t>
            </w:r>
          </w:p>
          <w:p>
            <w:pPr>
              <w:pStyle w:val="null3"/>
            </w:pPr>
            <w:r>
              <w:rPr>
                <w:rFonts w:ascii="仿宋_GB2312" w:hAnsi="仿宋_GB2312" w:cs="仿宋_GB2312" w:eastAsia="仿宋_GB2312"/>
              </w:rPr>
              <w:t xml:space="preserve">        供应商</w:t>
            </w:r>
            <w:r>
              <w:rPr>
                <w:rFonts w:ascii="仿宋_GB2312" w:hAnsi="仿宋_GB2312" w:cs="仿宋_GB2312" w:eastAsia="仿宋_GB2312"/>
              </w:rPr>
              <w:t>须建立</w:t>
            </w:r>
            <w:r>
              <w:rPr>
                <w:rFonts w:ascii="仿宋_GB2312" w:hAnsi="仿宋_GB2312" w:cs="仿宋_GB2312" w:eastAsia="仿宋_GB2312"/>
              </w:rPr>
              <w:t>“班组自查+跨组互查”的内部监督机制，校方将定期开展联查（每月不少于1次），形成三方监督闭环；</w:t>
            </w:r>
            <w:r>
              <w:rPr>
                <w:rFonts w:ascii="仿宋_GB2312" w:hAnsi="仿宋_GB2312" w:cs="仿宋_GB2312" w:eastAsia="仿宋_GB2312"/>
              </w:rPr>
              <w:t>供应商</w:t>
            </w:r>
            <w:r>
              <w:rPr>
                <w:rFonts w:ascii="仿宋_GB2312" w:hAnsi="仿宋_GB2312" w:cs="仿宋_GB2312" w:eastAsia="仿宋_GB2312"/>
              </w:rPr>
              <w:t>须于每月</w:t>
            </w:r>
            <w:r>
              <w:rPr>
                <w:rFonts w:ascii="仿宋_GB2312" w:hAnsi="仿宋_GB2312" w:cs="仿宋_GB2312" w:eastAsia="仿宋_GB2312"/>
              </w:rPr>
              <w:t>5日前向校方提交上月质量报告，详细说明服务开展情况、隐患整改情况、师生诉求处理情况及下月改进计划。同时，</w:t>
            </w:r>
            <w:r>
              <w:rPr>
                <w:rFonts w:ascii="仿宋_GB2312" w:hAnsi="仿宋_GB2312" w:cs="仿宋_GB2312" w:eastAsia="仿宋_GB2312"/>
              </w:rPr>
              <w:t>供应商</w:t>
            </w:r>
            <w:r>
              <w:rPr>
                <w:rFonts w:ascii="仿宋_GB2312" w:hAnsi="仿宋_GB2312" w:cs="仿宋_GB2312" w:eastAsia="仿宋_GB2312"/>
              </w:rPr>
              <w:t>须健全全维度管理制度，涵盖组织架构、岗位职责、内控监督、人员管理、档案管理等内容，明确仪容仪表、服务规范、培训考核、请销假、奖惩等具体要求，相关制度及服务台账须报校方备案，校方有权查阅核验，确保服务过程可追溯、管理措施可落地。</w:t>
            </w:r>
          </w:p>
          <w:p>
            <w:pPr>
              <w:pStyle w:val="null3"/>
            </w:pPr>
            <w:r>
              <w:rPr>
                <w:rFonts w:ascii="仿宋_GB2312" w:hAnsi="仿宋_GB2312" w:cs="仿宋_GB2312" w:eastAsia="仿宋_GB2312"/>
                <w:b/>
              </w:rPr>
              <w:t>四、</w:t>
            </w:r>
            <w:r>
              <w:rPr>
                <w:rFonts w:ascii="仿宋_GB2312" w:hAnsi="仿宋_GB2312" w:cs="仿宋_GB2312" w:eastAsia="仿宋_GB2312"/>
                <w:b/>
              </w:rPr>
              <w:t>履约保障及违约责任</w:t>
            </w:r>
          </w:p>
          <w:p>
            <w:pPr>
              <w:pStyle w:val="null3"/>
            </w:pPr>
            <w:r>
              <w:rPr>
                <w:rFonts w:ascii="仿宋_GB2312" w:hAnsi="仿宋_GB2312" w:cs="仿宋_GB2312" w:eastAsia="仿宋_GB2312"/>
              </w:rPr>
              <w:t>（一）供应商</w:t>
            </w:r>
            <w:r>
              <w:rPr>
                <w:rFonts w:ascii="仿宋_GB2312" w:hAnsi="仿宋_GB2312" w:cs="仿宋_GB2312" w:eastAsia="仿宋_GB2312"/>
              </w:rPr>
              <w:t>须落实保障义务</w:t>
            </w:r>
          </w:p>
          <w:p>
            <w:pPr>
              <w:pStyle w:val="null3"/>
              <w:ind w:firstLine="400"/>
            </w:pPr>
            <w:r>
              <w:rPr>
                <w:rFonts w:ascii="仿宋_GB2312" w:hAnsi="仿宋_GB2312" w:cs="仿宋_GB2312" w:eastAsia="仿宋_GB2312"/>
              </w:rPr>
              <w:t>团队保障：确保全员足额到岗、资质齐全有效，做好人员岗前培训及岗位衔接工作，持续保障服务稳定性；物资保障：自备基础服务工具，校方提供的耗材须按规范领用、登记造册，杜绝浪费或违规使用，校方有权全程监督耗材使用情况；协同保障：每周固定时间与校方对接沟通，对校方提出的诉求须在</w:t>
            </w:r>
            <w:r>
              <w:rPr>
                <w:rFonts w:ascii="仿宋_GB2312" w:hAnsi="仿宋_GB2312" w:cs="仿宋_GB2312" w:eastAsia="仿宋_GB2312"/>
              </w:rPr>
              <w:t>12小时内响应，24小时内给出明确处理方案；应急保障：每月至少开展1次应急演练（含消防、维修、治安等场景），演练方案及结果须报校方备案，持续提升应急响应能力。</w:t>
            </w:r>
          </w:p>
          <w:p>
            <w:pPr>
              <w:pStyle w:val="null3"/>
            </w:pPr>
            <w:r>
              <w:rPr>
                <w:rFonts w:ascii="仿宋_GB2312" w:hAnsi="仿宋_GB2312" w:cs="仿宋_GB2312" w:eastAsia="仿宋_GB2312"/>
              </w:rPr>
              <w:t>（二）</w:t>
            </w:r>
            <w:r>
              <w:rPr>
                <w:rFonts w:ascii="仿宋_GB2312" w:hAnsi="仿宋_GB2312" w:cs="仿宋_GB2312" w:eastAsia="仿宋_GB2312"/>
              </w:rPr>
              <w:t>核心履约要求及违约责任</w:t>
            </w:r>
          </w:p>
          <w:p>
            <w:pPr>
              <w:pStyle w:val="null3"/>
              <w:ind w:firstLine="400"/>
            </w:pPr>
            <w:r>
              <w:rPr>
                <w:rFonts w:ascii="仿宋_GB2312" w:hAnsi="仿宋_GB2312" w:cs="仿宋_GB2312" w:eastAsia="仿宋_GB2312"/>
              </w:rPr>
              <w:t>供应商</w:t>
            </w:r>
            <w:r>
              <w:rPr>
                <w:rFonts w:ascii="仿宋_GB2312" w:hAnsi="仿宋_GB2312" w:cs="仿宋_GB2312" w:eastAsia="仿宋_GB2312"/>
              </w:rPr>
              <w:t>须承诺全年无重大安全事故，隐患整改率</w:t>
            </w:r>
            <w:r>
              <w:rPr>
                <w:rFonts w:ascii="仿宋_GB2312" w:hAnsi="仿宋_GB2312" w:cs="仿宋_GB2312" w:eastAsia="仿宋_GB2312"/>
              </w:rPr>
              <w:t>100%；若发生重大安全事故，校方有权立即终止合作，并要求</w:t>
            </w:r>
            <w:r>
              <w:rPr>
                <w:rFonts w:ascii="仿宋_GB2312" w:hAnsi="仿宋_GB2312" w:cs="仿宋_GB2312" w:eastAsia="仿宋_GB2312"/>
              </w:rPr>
              <w:t>供应商</w:t>
            </w:r>
            <w:r>
              <w:rPr>
                <w:rFonts w:ascii="仿宋_GB2312" w:hAnsi="仿宋_GB2312" w:cs="仿宋_GB2312" w:eastAsia="仿宋_GB2312"/>
              </w:rPr>
              <w:t>承担由此造成的全部损失。</w:t>
            </w:r>
            <w:r>
              <w:rPr>
                <w:rFonts w:ascii="仿宋_GB2312" w:hAnsi="仿宋_GB2312" w:cs="仿宋_GB2312" w:eastAsia="仿宋_GB2312"/>
              </w:rPr>
              <w:t>供应商</w:t>
            </w:r>
            <w:r>
              <w:rPr>
                <w:rFonts w:ascii="仿宋_GB2312" w:hAnsi="仿宋_GB2312" w:cs="仿宋_GB2312" w:eastAsia="仿宋_GB2312"/>
              </w:rPr>
              <w:t>须严格履行合同约定及本规范要求，若服务未达标，校方有权发出整改通知，</w:t>
            </w:r>
            <w:r>
              <w:rPr>
                <w:rFonts w:ascii="仿宋_GB2312" w:hAnsi="仿宋_GB2312" w:cs="仿宋_GB2312" w:eastAsia="仿宋_GB2312"/>
              </w:rPr>
              <w:t>供应商</w:t>
            </w:r>
            <w:r>
              <w:rPr>
                <w:rFonts w:ascii="仿宋_GB2312" w:hAnsi="仿宋_GB2312" w:cs="仿宋_GB2312" w:eastAsia="仿宋_GB2312"/>
              </w:rPr>
              <w:t>须在限期内完成整改；若整改后仍未达标，校方有权单方面终止合作，且</w:t>
            </w:r>
            <w:r>
              <w:rPr>
                <w:rFonts w:ascii="仿宋_GB2312" w:hAnsi="仿宋_GB2312" w:cs="仿宋_GB2312" w:eastAsia="仿宋_GB2312"/>
              </w:rPr>
              <w:t>供应商</w:t>
            </w:r>
            <w:r>
              <w:rPr>
                <w:rFonts w:ascii="仿宋_GB2312" w:hAnsi="仿宋_GB2312" w:cs="仿宋_GB2312" w:eastAsia="仿宋_GB2312"/>
              </w:rPr>
              <w:t>须承担相应违约责任。</w:t>
            </w:r>
          </w:p>
          <w:p>
            <w:pPr>
              <w:pStyle w:val="null3"/>
              <w:ind w:firstLine="400"/>
            </w:pPr>
            <w:r>
              <w:rPr>
                <w:rFonts w:ascii="仿宋_GB2312" w:hAnsi="仿宋_GB2312" w:cs="仿宋_GB2312" w:eastAsia="仿宋_GB2312"/>
              </w:rPr>
              <w:t>因</w:t>
            </w:r>
            <w:r>
              <w:rPr>
                <w:rFonts w:ascii="仿宋_GB2312" w:hAnsi="仿宋_GB2312" w:cs="仿宋_GB2312" w:eastAsia="仿宋_GB2312"/>
              </w:rPr>
              <w:t>供应商</w:t>
            </w:r>
            <w:r>
              <w:rPr>
                <w:rFonts w:ascii="仿宋_GB2312" w:hAnsi="仿宋_GB2312" w:cs="仿宋_GB2312" w:eastAsia="仿宋_GB2312"/>
              </w:rPr>
              <w:t>服务不当、管理失职等自身责任，造成校方财产损失、师生人身伤害或不良社会影响的，</w:t>
            </w:r>
            <w:r>
              <w:rPr>
                <w:rFonts w:ascii="仿宋_GB2312" w:hAnsi="仿宋_GB2312" w:cs="仿宋_GB2312" w:eastAsia="仿宋_GB2312"/>
              </w:rPr>
              <w:t>供应商</w:t>
            </w:r>
            <w:r>
              <w:rPr>
                <w:rFonts w:ascii="仿宋_GB2312" w:hAnsi="仿宋_GB2312" w:cs="仿宋_GB2312" w:eastAsia="仿宋_GB2312"/>
              </w:rPr>
              <w:t>须依法全额赔偿，校方保留追究其法律责任的权利。</w:t>
            </w:r>
          </w:p>
          <w:p>
            <w:pPr>
              <w:pStyle w:val="null3"/>
            </w:pPr>
            <w:r>
              <w:rPr>
                <w:rFonts w:ascii="仿宋_GB2312" w:hAnsi="仿宋_GB2312" w:cs="仿宋_GB2312" w:eastAsia="仿宋_GB2312"/>
                <w:b/>
              </w:rPr>
              <w:t>五、合作优化机制</w:t>
            </w:r>
          </w:p>
          <w:p>
            <w:pPr>
              <w:pStyle w:val="null3"/>
              <w:ind w:firstLine="400"/>
              <w:jc w:val="left"/>
            </w:pPr>
            <w:r>
              <w:rPr>
                <w:rFonts w:ascii="仿宋_GB2312" w:hAnsi="仿宋_GB2312" w:cs="仿宋_GB2312" w:eastAsia="仿宋_GB2312"/>
                <w:sz w:val="20"/>
                <w:color w:val="000000"/>
              </w:rPr>
              <w:t>校方有权根据校园运营需求、师生反馈，随时向</w:t>
            </w:r>
            <w:r>
              <w:rPr>
                <w:rFonts w:ascii="仿宋_GB2312" w:hAnsi="仿宋_GB2312" w:cs="仿宋_GB2312" w:eastAsia="仿宋_GB2312"/>
                <w:sz w:val="20"/>
                <w:color w:val="000000"/>
              </w:rPr>
              <w:t>供应商</w:t>
            </w:r>
            <w:r>
              <w:rPr>
                <w:rFonts w:ascii="仿宋_GB2312" w:hAnsi="仿宋_GB2312" w:cs="仿宋_GB2312" w:eastAsia="仿宋_GB2312"/>
                <w:sz w:val="20"/>
                <w:color w:val="000000"/>
              </w:rPr>
              <w:t>提出服务调整建议，</w:t>
            </w:r>
            <w:r>
              <w:rPr>
                <w:rFonts w:ascii="仿宋_GB2312" w:hAnsi="仿宋_GB2312" w:cs="仿宋_GB2312" w:eastAsia="仿宋_GB2312"/>
                <w:sz w:val="20"/>
                <w:color w:val="000000"/>
              </w:rPr>
              <w:t>供应商</w:t>
            </w:r>
            <w:r>
              <w:rPr>
                <w:rFonts w:ascii="仿宋_GB2312" w:hAnsi="仿宋_GB2312" w:cs="仿宋_GB2312" w:eastAsia="仿宋_GB2312"/>
                <w:sz w:val="20"/>
                <w:color w:val="000000"/>
              </w:rPr>
              <w:t>须积极响应并在合理期限内落实到位。</w:t>
            </w:r>
            <w:r>
              <w:rPr>
                <w:rFonts w:ascii="仿宋_GB2312" w:hAnsi="仿宋_GB2312" w:cs="仿宋_GB2312" w:eastAsia="仿宋_GB2312"/>
                <w:sz w:val="20"/>
                <w:color w:val="000000"/>
              </w:rPr>
              <w:t>供应商</w:t>
            </w:r>
            <w:r>
              <w:rPr>
                <w:rFonts w:ascii="仿宋_GB2312" w:hAnsi="仿宋_GB2312" w:cs="仿宋_GB2312" w:eastAsia="仿宋_GB2312"/>
                <w:sz w:val="20"/>
                <w:color w:val="000000"/>
              </w:rPr>
              <w:t>须按月汇总服务过程中存在的问题、师生诉求，形成分析报告提交校方；每季度与校方共同复盘服务流程，优化服务方案；每年开展一次全维度服务评估，结合校方需求动态调整服务内容及方式，确保后勤服务持续适配校园发展需要。</w:t>
            </w:r>
          </w:p>
          <w:p>
            <w:pPr>
              <w:pStyle w:val="null3"/>
              <w:jc w:val="left"/>
            </w:pPr>
            <w:r>
              <w:rPr>
                <w:rFonts w:ascii="仿宋_GB2312" w:hAnsi="仿宋_GB2312" w:cs="仿宋_GB2312" w:eastAsia="仿宋_GB2312"/>
                <w:sz w:val="20"/>
                <w:b/>
                <w:color w:val="000000"/>
              </w:rPr>
              <w:t>注：</w:t>
            </w:r>
            <w:r>
              <w:rPr>
                <w:rFonts w:ascii="仿宋_GB2312" w:hAnsi="仿宋_GB2312" w:cs="仿宋_GB2312" w:eastAsia="仿宋_GB2312"/>
                <w:sz w:val="20"/>
                <w:b/>
                <w:color w:val="000000"/>
              </w:rPr>
              <w:t>校方将依据本规范对乙方服务进行全程监督、考核，确保乙方切实履行服务义务，共同为全校师生营造安全、整洁、有序、高效的校园环境。</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1、成交供应商对最终的服务质量负完全责任。 2、验收依据：（1）合同；（2）国家有关的验收标准及规范；（3）竞争性磋商文件、竞争性磋商响应文件。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服务费按季度（每三个月）结算支付；每月15日前甲方结算，付款前乙方向甲方提供全额发票，甲方收到发票后，以银行转账方式结算上季度服务费</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服务费按季度（每三个月）结算支付；每月15日前甲方结算，付款前乙方向甲方提供全额发票，甲方收到发票后，以银行转账方式结算上季度服务费</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服务费按季度（每三个月）结算支付；每月15日前甲方结算，付款前乙方向甲方提供全额发票，甲方收到发票后，以银行转账方式结算上季度服务费</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服务费按季度（每三个月）结算支付；每月15日前甲方结算，付款前乙方向甲方提供全额发票，甲方收到发票后，以银行转账方式结算上季度服务费</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1.本项目所属行业为：物业管理。2.成交供应商在领取中标（成交）通知书时向代理机构提供纸质版响应文件，响应文件为正本一份，副本二 份，电子U盘二份。 3.如磋商文件中融资相关内容与新政策要求有出入，按照最新要求执行。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磋商的，须出具法定代表人身份证明及法人身份证；法定代表人授权代表参加磋商的，须出具法定代表人授权委托书和被授权人身份证；注：被授权人参与磋商时，须提供被授权人响应文件递交截止时间前六个月内任意一个月在本单位缴纳的社保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标的清单 报价表 报价明细表.docx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与所投项目名称、项目编号一致，且符合磋商文件签署盖章要求。</w:t>
            </w:r>
          </w:p>
        </w:tc>
        <w:tc>
          <w:tcPr>
            <w:tcW w:type="dxa" w:w="1661"/>
          </w:tcPr>
          <w:p>
            <w:pPr>
              <w:pStyle w:val="null3"/>
            </w:pPr>
            <w:r>
              <w:rPr>
                <w:rFonts w:ascii="仿宋_GB2312" w:hAnsi="仿宋_GB2312" w:cs="仿宋_GB2312" w:eastAsia="仿宋_GB2312"/>
              </w:rPr>
              <w:t>服务内容及服务邀请应答表 中小企业声明函 报价表 响应文件封面 供应商应提交的相关资格证明材料.docx 残疾人福利性单位声明函 标的清单 业绩的相关证明材料.docx 响应函 服务方案.docx 监狱企业的证明文件 报价明细表.docx 合同条款响应偏离表.docx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供应商针对本项目提供服务方案，包括①对本项目整体实施服务方案；②保洁服务方案；③水电勤杂维修服务方案；④安保服务方案等。方案应包含且不限于理论计算、文字描述等内容，未提供的本项不得分。 方案各部分内容全面详细、阐述条理清晰详尽、符合本项目采购需求，能有效保障本项目实施的计20分。每有一项内容缺失扣5分，每有一项内容每存在以下1种缺陷扣1分，扣完为止。 说明：缺陷是指：①内容不完整、不合理；②虽有内容但不完善详细，内容过于简略、条理不清；③内容表述前后不一致、内容前后矛盾、或缺少关键节点；④套用其他项目方案、非专门针对本项目或不适用项目特性的情形；⑤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质量控制措施</w:t>
            </w:r>
          </w:p>
        </w:tc>
        <w:tc>
          <w:tcPr>
            <w:tcW w:type="dxa" w:w="2492"/>
          </w:tcPr>
          <w:p>
            <w:pPr>
              <w:pStyle w:val="null3"/>
            </w:pPr>
            <w:r>
              <w:rPr>
                <w:rFonts w:ascii="仿宋_GB2312" w:hAnsi="仿宋_GB2312" w:cs="仿宋_GB2312" w:eastAsia="仿宋_GB2312"/>
              </w:rPr>
              <w:t>一、评审内容： 针对本项目提出的质量控制方案，方案内容包含①质量目标②质量保障措施③规范工作措施。 二、评审标准： 以上评审内容每一项满分3分，按如下标准赋分：①专门针对本项目编制，内容详尽全面，合理性和可行性强，得3分；②专门针对本项目编制，基本符合项目实际情况及实施要求，内容较详细，基本合理可行的，得2分； ③专门针对本项目编制，基本符合项目实际情况及实施要求，但方案涵盖角度不全面且实施有难度的，得1分； ④内容简单笼统，实施难度大的，得0分。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企业管理制度</w:t>
            </w:r>
          </w:p>
        </w:tc>
        <w:tc>
          <w:tcPr>
            <w:tcW w:type="dxa" w:w="2492"/>
          </w:tcPr>
          <w:p>
            <w:pPr>
              <w:pStyle w:val="null3"/>
            </w:pPr>
            <w:r>
              <w:rPr>
                <w:rFonts w:ascii="仿宋_GB2312" w:hAnsi="仿宋_GB2312" w:cs="仿宋_GB2312" w:eastAsia="仿宋_GB2312"/>
              </w:rPr>
              <w:t>一、评审内容： 针对本项目具有良好的管理制度，制度内容包含①管理架构②岗位职责：具有岗位工作标准、服务质量标准、作业流程及作业记录③内控制度：具有保密制度、管理组织机构、问责机制、监督机制、自查制度④人员管理制度：具有员工日常管理办法、考核制度、请销假制度、奖惩措施、激励机制、仪容仪表制度。 ⑤日常档案资料管理制度。 二、评审标准：以上评审内容每一项满分3分，按如下标准赋分：①专门针对本项目编制，内容详尽且涵盖角度全面，合理性和可行性强，能够保障项目顺利实施的，得3分；②专门针对本项目编制，基本符合项目实际情况及实施要求，内容较详细，涵盖角度较全面，基本合理可行的，得2分； ③专门针对本项目编制，基本符合项目实际情况及实施要求，但方案涵盖角度不全面且实施有难度的，得1分； ④内容简单笼统，实施难度大的，得0分。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人员及工器具配置</w:t>
            </w:r>
          </w:p>
        </w:tc>
        <w:tc>
          <w:tcPr>
            <w:tcW w:type="dxa" w:w="2492"/>
          </w:tcPr>
          <w:p>
            <w:pPr>
              <w:pStyle w:val="null3"/>
            </w:pPr>
            <w:r>
              <w:rPr>
                <w:rFonts w:ascii="仿宋_GB2312" w:hAnsi="仿宋_GB2312" w:cs="仿宋_GB2312" w:eastAsia="仿宋_GB2312"/>
              </w:rPr>
              <w:t>一、评审内容：①针对本项目所配保洁人员、水电勤杂维修、安全保卫服务人员人数满足采购文件要求且人员配置科学合理。②拟投入的人员工作服装配置。 ③拟投入的设备、劳保用品、清洁工具、维修设备、安保设备数量种类配置。 二、评审标准：以上评审内容每一项满分4分，按如下标准赋分：①专门针对本项目编制，符合项目实际情况及实施要求，内容详尽且涵盖角度全面，合理性和可行性强，能够保障项目顺利实施的，得4分；②专门针对本项目编制，符合项目实际情况及实施要求，内容详尽且涵盖角度基本全面，有一定的合理性和可行性的，得3分；③ 专门针对本项目编制，基本符合项目实际情况及实施要求，内容较详细，涵盖角度较全面，基本合理可行的，得2分； ④专门针对本项目编制，基本符合项目实际情况及实施要求，但方案涵盖角度不全面且实施有难度的，得1分； ⑤内容简单笼统，实施难度大的，得0分。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日常活动及其他应急预案</w:t>
            </w:r>
          </w:p>
        </w:tc>
        <w:tc>
          <w:tcPr>
            <w:tcW w:type="dxa" w:w="2492"/>
          </w:tcPr>
          <w:p>
            <w:pPr>
              <w:pStyle w:val="null3"/>
            </w:pPr>
            <w:r>
              <w:rPr>
                <w:rFonts w:ascii="仿宋_GB2312" w:hAnsi="仿宋_GB2312" w:cs="仿宋_GB2312" w:eastAsia="仿宋_GB2312"/>
              </w:rPr>
              <w:t>一、评审内容： 内容至少包括①日常检查、考察接待方案；②日常活动、比赛、考试保障方案；③自然灾害（如极端天气、停电、停水、火灾等）预防及处置措施；④公共安全事件（如：突发公共卫生、盗窃、打架、暴恐、爆炸、意外伤亡、踩踏事件等）预防及处置措施等。 二、评审标准：以上评审内容每一项满分3分，按如下标准赋分：①专门针对本项目编制，内容详尽且涵盖角度全面，合理性和可行性强，能够保障项目顺利实施的，得3分；②专门针对本项目编制，基本符合项目实际情况及实施要求，内容较详细，涵盖角度较全面，基本合理可行的，得2分；③ 专门针对本项目编制，基本符合项目实际情况及实施要求，但方案涵盖角度不全面且实施有难度的，得1分； ④内容简单笼统，实施难度大的，得0分。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①承诺按时足额发放人员工资及福利等。②相关人员及时到岗承诺③综合维修承诺④确保上岗人员身体健康无重大疾病承诺。 二、评审标准：以上评审内容每一项满分3分，按如下标准赋分：①专门针对本项目编制，内容详尽且涵盖角度全面，合理性和可行性强，能够保障项目顺利实施的，得3分；②专门针对本项目编制，基本符合项目实际情况及实施要求，内容较详细，涵盖角度较全面，基本合理可行的，得2分； ③专门针对本项目编制，基本符合项目实际情况及实施要求，但方案涵盖角度不全面且实施有难度的，得1分； ④内容简单笼统，实施难度大的，得0分。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供应商具有2023年01月01日至今（以合同签订时间为准）的类似项目业绩，投标文件中提供合同复印件加盖公章，每提供一个计2分，满分10分。 注：以合同为准，证明材料为合同首页、双方签字盖章页以及能够反映合同内容的部分。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业绩的相关证明材料.docx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详见附件：业绩的相关证明材料.docx</w:t>
      </w:r>
    </w:p>
    <w:p>
      <w:pPr>
        <w:pStyle w:val="null3"/>
        <w:ind w:firstLine="960"/>
      </w:pPr>
      <w:r>
        <w:rPr>
          <w:rFonts w:ascii="仿宋_GB2312" w:hAnsi="仿宋_GB2312" w:cs="仿宋_GB2312" w:eastAsia="仿宋_GB2312"/>
        </w:rPr>
        <w:t>详见附件：合同条款响应偏离表.docx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