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EBB1A">
      <w:pPr>
        <w:pStyle w:val="3"/>
        <w:spacing w:line="360" w:lineRule="auto"/>
        <w:jc w:val="center"/>
        <w:outlineLvl w:val="0"/>
        <w:rPr>
          <w:rFonts w:ascii="宋体" w:hAnsi="宋体" w:cs="宋体"/>
          <w:b/>
          <w:bCs/>
          <w:sz w:val="44"/>
          <w:szCs w:val="44"/>
        </w:rPr>
      </w:pPr>
      <w:bookmarkStart w:id="0" w:name="_GoBack"/>
      <w:bookmarkEnd w:id="0"/>
      <w:r>
        <w:rPr>
          <w:rFonts w:hint="eastAsia" w:ascii="宋体" w:hAnsi="宋体" w:cs="宋体"/>
          <w:b/>
          <w:bCs/>
          <w:sz w:val="44"/>
          <w:szCs w:val="44"/>
        </w:rPr>
        <w:t>拟签订的合同文本</w:t>
      </w:r>
    </w:p>
    <w:p w14:paraId="19AD28DA">
      <w:pPr>
        <w:pageBreakBefore w:val="0"/>
        <w:widowControl w:val="0"/>
        <w:tabs>
          <w:tab w:val="left" w:pos="735"/>
        </w:tabs>
        <w:kinsoku/>
        <w:wordWrap/>
        <w:overflowPunct/>
        <w:topLinePunct w:val="0"/>
        <w:autoSpaceDE w:val="0"/>
        <w:autoSpaceDN w:val="0"/>
        <w:bidi w:val="0"/>
        <w:adjustRightInd w:val="0"/>
        <w:snapToGrid w:val="0"/>
        <w:spacing w:line="360" w:lineRule="auto"/>
        <w:ind w:firstLine="472" w:firstLineChars="196"/>
        <w:textAlignment w:val="auto"/>
        <w:rPr>
          <w:rFonts w:ascii="宋体" w:hAnsi="宋体"/>
          <w:b/>
          <w:sz w:val="24"/>
        </w:rPr>
      </w:pPr>
      <w:r>
        <w:rPr>
          <w:rFonts w:hint="eastAsia" w:ascii="宋体" w:hAnsi="宋体"/>
          <w:b/>
          <w:sz w:val="24"/>
        </w:rPr>
        <w:t>（</w:t>
      </w:r>
      <w:r>
        <w:rPr>
          <w:rFonts w:hint="eastAsia" w:ascii="宋体" w:hAnsi="宋体"/>
          <w:b/>
          <w:sz w:val="24"/>
          <w:lang w:val="zh-CN"/>
        </w:rPr>
        <w:t>此合同草案条款，</w:t>
      </w:r>
      <w:r>
        <w:rPr>
          <w:rFonts w:hint="eastAsia" w:ascii="宋体" w:hAnsi="宋体"/>
          <w:b/>
          <w:sz w:val="24"/>
        </w:rPr>
        <w:t>采购人和成交供应商</w:t>
      </w:r>
      <w:r>
        <w:rPr>
          <w:rFonts w:hint="eastAsia" w:ascii="宋体" w:hAnsi="宋体"/>
          <w:b/>
          <w:sz w:val="24"/>
          <w:lang w:val="zh-CN"/>
        </w:rPr>
        <w:t>所签订的合同</w:t>
      </w:r>
      <w:r>
        <w:rPr>
          <w:rFonts w:hint="eastAsia" w:ascii="宋体" w:hAnsi="宋体"/>
          <w:b/>
          <w:sz w:val="24"/>
        </w:rPr>
        <w:t>不得对</w:t>
      </w:r>
      <w:r>
        <w:rPr>
          <w:rFonts w:hint="eastAsia" w:ascii="宋体" w:hAnsi="宋体"/>
          <w:b/>
          <w:sz w:val="24"/>
          <w:lang w:val="en-US" w:eastAsia="zh-CN"/>
        </w:rPr>
        <w:t>磋商</w:t>
      </w:r>
      <w:r>
        <w:rPr>
          <w:rFonts w:hint="eastAsia" w:ascii="宋体" w:hAnsi="宋体"/>
          <w:b/>
          <w:sz w:val="24"/>
          <w:lang w:val="zh-CN"/>
        </w:rPr>
        <w:t>文件确定的事项和</w:t>
      </w:r>
      <w:r>
        <w:rPr>
          <w:rFonts w:hint="eastAsia" w:ascii="宋体" w:hAnsi="宋体"/>
          <w:b/>
          <w:sz w:val="24"/>
        </w:rPr>
        <w:t>成交供应商</w:t>
      </w:r>
      <w:r>
        <w:rPr>
          <w:rFonts w:hint="eastAsia" w:ascii="宋体" w:hAnsi="宋体"/>
          <w:b/>
          <w:sz w:val="24"/>
          <w:lang w:val="zh-CN"/>
        </w:rPr>
        <w:t>的</w:t>
      </w:r>
      <w:r>
        <w:rPr>
          <w:rFonts w:hint="eastAsia" w:ascii="宋体" w:hAnsi="宋体"/>
          <w:b/>
          <w:sz w:val="24"/>
          <w:lang w:val="en-US" w:eastAsia="zh-CN"/>
        </w:rPr>
        <w:t>磋商</w:t>
      </w:r>
      <w:r>
        <w:rPr>
          <w:rFonts w:hint="eastAsia" w:ascii="宋体" w:hAnsi="宋体"/>
          <w:b/>
          <w:sz w:val="24"/>
        </w:rPr>
        <w:t>响应</w:t>
      </w:r>
      <w:r>
        <w:rPr>
          <w:rFonts w:hint="eastAsia" w:ascii="宋体" w:hAnsi="宋体"/>
          <w:b/>
          <w:sz w:val="24"/>
          <w:lang w:val="zh-CN"/>
        </w:rPr>
        <w:t>文件做实质性修改，最终签订的合同以采购人确定的合同内容为准。</w:t>
      </w:r>
      <w:r>
        <w:rPr>
          <w:rFonts w:hint="eastAsia" w:ascii="宋体" w:hAnsi="宋体"/>
          <w:b/>
          <w:sz w:val="24"/>
        </w:rPr>
        <w:t>）</w:t>
      </w:r>
    </w:p>
    <w:p w14:paraId="677E4EF9">
      <w:pPr>
        <w:keepNext w:val="0"/>
        <w:keepLines w:val="0"/>
        <w:pageBreakBefore w:val="0"/>
        <w:kinsoku/>
        <w:wordWrap/>
        <w:overflowPunct/>
        <w:topLinePunct w:val="0"/>
        <w:autoSpaceDE/>
        <w:autoSpaceDN/>
        <w:bidi w:val="0"/>
        <w:adjustRightInd w:val="0"/>
        <w:snapToGrid w:val="0"/>
        <w:spacing w:beforeAutospacing="0" w:afterAutospacing="0" w:line="360" w:lineRule="auto"/>
        <w:ind w:left="0" w:right="0" w:rightChars="0" w:firstLine="480" w:firstLineChars="200"/>
        <w:textAlignment w:val="auto"/>
        <w:rPr>
          <w:rFonts w:hint="eastAsia" w:ascii="宋体" w:hAnsi="宋体" w:eastAsia="宋体" w:cs="宋体"/>
          <w:sz w:val="20"/>
          <w:szCs w:val="20"/>
          <w:highlight w:val="none"/>
          <w:u w:val="single"/>
        </w:rPr>
      </w:pPr>
      <w:r>
        <w:rPr>
          <w:rFonts w:hint="eastAsia" w:ascii="宋体" w:hAnsi="宋体" w:eastAsia="宋体" w:cs="Times New Roman"/>
          <w:bCs/>
          <w:color w:val="auto"/>
          <w:sz w:val="24"/>
          <w:highlight w:val="none"/>
          <w:lang w:val="en-US" w:eastAsia="zh-CN"/>
        </w:rPr>
        <w:t>甲方(</w:t>
      </w:r>
      <w:r>
        <w:rPr>
          <w:rFonts w:hint="eastAsia" w:ascii="宋体" w:hAnsi="宋体" w:eastAsia="宋体" w:cs="Times New Roman"/>
          <w:bCs/>
          <w:color w:val="auto"/>
          <w:sz w:val="24"/>
          <w:highlight w:val="none"/>
          <w:lang w:val="en-US" w:eastAsia="zh-CN"/>
        </w:rPr>
        <w:fldChar w:fldCharType="begin"/>
      </w:r>
      <w:r>
        <w:rPr>
          <w:rFonts w:hint="eastAsia" w:ascii="宋体" w:hAnsi="宋体" w:eastAsia="宋体" w:cs="Times New Roman"/>
          <w:bCs/>
          <w:color w:val="auto"/>
          <w:sz w:val="24"/>
          <w:highlight w:val="none"/>
          <w:lang w:val="en-US" w:eastAsia="zh-CN"/>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Times New Roman"/>
          <w:bCs/>
          <w:color w:val="auto"/>
          <w:sz w:val="24"/>
          <w:highlight w:val="none"/>
          <w:lang w:val="en-US" w:eastAsia="zh-CN"/>
        </w:rPr>
        <w:fldChar w:fldCharType="separate"/>
      </w:r>
      <w:r>
        <w:rPr>
          <w:rFonts w:hint="eastAsia" w:ascii="宋体" w:hAnsi="宋体" w:eastAsia="宋体" w:cs="Times New Roman"/>
          <w:bCs/>
          <w:color w:val="auto"/>
          <w:sz w:val="24"/>
          <w:highlight w:val="none"/>
          <w:lang w:val="en-US" w:eastAsia="zh-CN"/>
        </w:rPr>
        <w:t>采购人</w:t>
      </w:r>
      <w:r>
        <w:rPr>
          <w:rFonts w:hint="eastAsia" w:ascii="宋体" w:hAnsi="宋体" w:eastAsia="宋体" w:cs="Times New Roman"/>
          <w:bCs/>
          <w:color w:val="auto"/>
          <w:sz w:val="24"/>
          <w:highlight w:val="none"/>
          <w:lang w:val="en-US" w:eastAsia="zh-CN"/>
        </w:rPr>
        <w:fldChar w:fldCharType="end"/>
      </w:r>
      <w:r>
        <w:rPr>
          <w:rFonts w:hint="eastAsia" w:ascii="宋体" w:hAnsi="宋体" w:eastAsia="宋体" w:cs="Times New Roman"/>
          <w:bCs/>
          <w:color w:val="auto"/>
          <w:sz w:val="24"/>
          <w:highlight w:val="none"/>
          <w:lang w:val="en-US" w:eastAsia="zh-CN"/>
        </w:rPr>
        <w:t>)：</w:t>
      </w:r>
      <w:r>
        <w:rPr>
          <w:rFonts w:hint="eastAsia" w:ascii="宋体" w:hAnsi="宋体" w:eastAsia="宋体" w:cs="宋体"/>
          <w:sz w:val="20"/>
          <w:szCs w:val="20"/>
          <w:highlight w:val="none"/>
          <w:u w:val="single"/>
        </w:rPr>
        <w:t xml:space="preserve">                  </w:t>
      </w:r>
    </w:p>
    <w:p w14:paraId="2C8C6B6F">
      <w:pPr>
        <w:keepNext w:val="0"/>
        <w:keepLines w:val="0"/>
        <w:pageBreakBefore w:val="0"/>
        <w:kinsoku/>
        <w:wordWrap/>
        <w:overflowPunct/>
        <w:topLinePunct w:val="0"/>
        <w:autoSpaceDE/>
        <w:autoSpaceDN/>
        <w:bidi w:val="0"/>
        <w:adjustRightInd w:val="0"/>
        <w:snapToGrid w:val="0"/>
        <w:spacing w:beforeAutospacing="0" w:afterAutospacing="0" w:line="360" w:lineRule="auto"/>
        <w:ind w:left="0" w:right="0" w:rightChars="0" w:firstLine="480" w:firstLineChars="200"/>
        <w:textAlignment w:val="auto"/>
        <w:rPr>
          <w:rFonts w:hint="eastAsia" w:ascii="宋体" w:hAnsi="宋体" w:eastAsia="宋体" w:cs="宋体"/>
          <w:sz w:val="20"/>
          <w:szCs w:val="20"/>
          <w:highlight w:val="none"/>
        </w:rPr>
      </w:pPr>
      <w:r>
        <w:rPr>
          <w:rFonts w:hint="eastAsia" w:ascii="宋体" w:hAnsi="宋体" w:eastAsia="宋体" w:cs="Times New Roman"/>
          <w:bCs/>
          <w:color w:val="auto"/>
          <w:sz w:val="24"/>
          <w:highlight w:val="none"/>
        </w:rPr>
        <w:fldChar w:fldCharType="begin"/>
      </w:r>
      <w:r>
        <w:rPr>
          <w:rFonts w:hint="eastAsia" w:ascii="宋体" w:hAnsi="宋体" w:eastAsia="宋体" w:cs="Times New Roman"/>
          <w:bCs/>
          <w:color w:val="auto"/>
          <w:sz w:val="24"/>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Times New Roman"/>
          <w:bCs/>
          <w:color w:val="auto"/>
          <w:sz w:val="24"/>
          <w:highlight w:val="none"/>
        </w:rPr>
        <w:fldChar w:fldCharType="separate"/>
      </w:r>
      <w:r>
        <w:rPr>
          <w:rFonts w:hint="eastAsia" w:ascii="宋体" w:hAnsi="宋体" w:eastAsia="宋体" w:cs="Times New Roman"/>
          <w:bCs/>
          <w:color w:val="auto"/>
          <w:sz w:val="24"/>
          <w:highlight w:val="none"/>
        </w:rPr>
        <w:t>乙方</w:t>
      </w:r>
      <w:r>
        <w:rPr>
          <w:rFonts w:hint="eastAsia" w:ascii="宋体" w:hAnsi="宋体" w:eastAsia="宋体" w:cs="Times New Roman"/>
          <w:bCs/>
          <w:color w:val="auto"/>
          <w:sz w:val="24"/>
          <w:highlight w:val="none"/>
        </w:rPr>
        <w:fldChar w:fldCharType="end"/>
      </w:r>
      <w:r>
        <w:rPr>
          <w:rFonts w:hint="eastAsia" w:ascii="宋体" w:hAnsi="宋体" w:eastAsia="宋体" w:cs="Times New Roman"/>
          <w:bCs/>
          <w:color w:val="auto"/>
          <w:sz w:val="24"/>
          <w:highlight w:val="none"/>
        </w:rPr>
        <w:t>(供应商)：</w:t>
      </w:r>
      <w:r>
        <w:rPr>
          <w:rFonts w:hint="eastAsia" w:ascii="宋体" w:hAnsi="宋体" w:eastAsia="宋体" w:cs="宋体"/>
          <w:sz w:val="20"/>
          <w:szCs w:val="20"/>
          <w:highlight w:val="none"/>
          <w:u w:val="single"/>
        </w:rPr>
        <w:t xml:space="preserve">                  </w:t>
      </w:r>
    </w:p>
    <w:p w14:paraId="5825EB4A">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Times New Roman"/>
          <w:bCs/>
          <w:color w:val="auto"/>
          <w:sz w:val="24"/>
          <w:highlight w:val="none"/>
        </w:rPr>
      </w:pPr>
      <w:r>
        <w:rPr>
          <w:rFonts w:hint="eastAsia" w:ascii="宋体" w:hAnsi="宋体" w:eastAsia="宋体" w:cs="Times New Roman"/>
          <w:bCs/>
          <w:color w:val="auto"/>
          <w:sz w:val="24"/>
          <w:highlight w:val="none"/>
          <w:lang w:val="en-US" w:eastAsia="zh-CN"/>
        </w:rPr>
        <w:t>根据</w:t>
      </w:r>
      <w:r>
        <w:rPr>
          <w:rFonts w:hint="eastAsia" w:ascii="宋体" w:hAnsi="宋体" w:eastAsia="宋体" w:cs="Times New Roman"/>
          <w:bCs/>
          <w:color w:val="auto"/>
          <w:sz w:val="24"/>
          <w:highlight w:val="none"/>
        </w:rPr>
        <w:t>《中华人民共和国民法典》和《中华人民共和国政府采购法》</w:t>
      </w:r>
      <w:r>
        <w:rPr>
          <w:rFonts w:hint="eastAsia" w:ascii="宋体" w:hAnsi="宋体" w:eastAsia="宋体" w:cs="Times New Roman"/>
          <w:bCs/>
          <w:color w:val="auto"/>
          <w:sz w:val="24"/>
          <w:highlight w:val="none"/>
          <w:lang w:val="en-US" w:eastAsia="zh-CN"/>
        </w:rPr>
        <w:t>及</w:t>
      </w:r>
      <w:r>
        <w:rPr>
          <w:rFonts w:hint="eastAsia" w:ascii="宋体" w:hAnsi="宋体" w:eastAsia="宋体" w:cs="Times New Roman"/>
          <w:bCs/>
          <w:color w:val="auto"/>
          <w:sz w:val="24"/>
          <w:highlight w:val="none"/>
        </w:rPr>
        <w:t>其他法律、法规的规定</w:t>
      </w:r>
      <w:r>
        <w:rPr>
          <w:rFonts w:hint="eastAsia" w:ascii="宋体" w:hAnsi="宋体" w:eastAsia="宋体" w:cs="Times New Roman"/>
          <w:bCs/>
          <w:color w:val="auto"/>
          <w:sz w:val="24"/>
          <w:highlight w:val="none"/>
          <w:lang w:eastAsia="zh-CN"/>
        </w:rPr>
        <w:t>，并按照公正、平等、 自愿、诚实信用的原则，</w:t>
      </w:r>
      <w:r>
        <w:rPr>
          <w:rFonts w:hint="eastAsia" w:ascii="宋体" w:hAnsi="宋体" w:eastAsia="宋体" w:cs="Times New Roman"/>
          <w:bCs/>
          <w:color w:val="auto"/>
          <w:sz w:val="24"/>
          <w:highlight w:val="none"/>
        </w:rPr>
        <w:t>甲乙双方</w:t>
      </w:r>
      <w:r>
        <w:rPr>
          <w:rFonts w:hint="eastAsia" w:ascii="宋体" w:hAnsi="宋体" w:eastAsia="宋体" w:cs="Times New Roman"/>
          <w:bCs/>
          <w:color w:val="auto"/>
          <w:sz w:val="24"/>
          <w:highlight w:val="none"/>
          <w:lang w:val="en-US" w:eastAsia="zh-CN"/>
        </w:rPr>
        <w:t>经</w:t>
      </w:r>
      <w:r>
        <w:rPr>
          <w:rFonts w:hint="eastAsia" w:ascii="宋体" w:hAnsi="宋体" w:eastAsia="宋体" w:cs="Times New Roman"/>
          <w:bCs/>
          <w:color w:val="auto"/>
          <w:sz w:val="24"/>
          <w:highlight w:val="none"/>
        </w:rPr>
        <w:t>友好协商订立本合同，供双方共同遵守：</w:t>
      </w:r>
    </w:p>
    <w:p w14:paraId="19AC9AB4">
      <w:pPr>
        <w:pageBreakBefore w:val="0"/>
        <w:widowControl w:val="0"/>
        <w:kinsoku/>
        <w:wordWrap/>
        <w:overflowPunct/>
        <w:topLinePunct w:val="0"/>
        <w:autoSpaceDE w:val="0"/>
        <w:autoSpaceDN w:val="0"/>
        <w:bidi w:val="0"/>
        <w:adjustRightInd w:val="0"/>
        <w:spacing w:line="360" w:lineRule="auto"/>
        <w:ind w:firstLine="482" w:firstLineChars="200"/>
        <w:textAlignment w:val="auto"/>
        <w:rPr>
          <w:rFonts w:ascii="宋体" w:hAnsi="宋体"/>
          <w:bCs/>
          <w:color w:val="auto"/>
          <w:sz w:val="24"/>
          <w:highlight w:val="none"/>
        </w:rPr>
      </w:pPr>
      <w:r>
        <w:rPr>
          <w:rFonts w:hint="eastAsia" w:ascii="宋体" w:hAnsi="宋体"/>
          <w:b/>
          <w:bCs/>
          <w:color w:val="auto"/>
          <w:sz w:val="24"/>
          <w:highlight w:val="none"/>
          <w:lang w:val="en-US" w:eastAsia="zh-CN"/>
        </w:rPr>
        <w:t>一</w:t>
      </w:r>
      <w:r>
        <w:rPr>
          <w:rFonts w:hint="eastAsia" w:ascii="宋体" w:hAnsi="宋体"/>
          <w:b/>
          <w:bCs/>
          <w:color w:val="auto"/>
          <w:sz w:val="24"/>
          <w:highlight w:val="none"/>
        </w:rPr>
        <w:t>、</w:t>
      </w:r>
      <w:r>
        <w:rPr>
          <w:rFonts w:hint="eastAsia" w:ascii="宋体" w:hAnsi="宋体"/>
          <w:b/>
          <w:bCs/>
          <w:color w:val="auto"/>
          <w:sz w:val="24"/>
          <w:highlight w:val="none"/>
          <w:lang w:val="en-US" w:eastAsia="zh-CN"/>
        </w:rPr>
        <w:t>项目概况</w:t>
      </w:r>
      <w:r>
        <w:rPr>
          <w:rFonts w:hint="eastAsia" w:ascii="宋体" w:hAnsi="宋体"/>
          <w:b/>
          <w:bCs/>
          <w:color w:val="auto"/>
          <w:sz w:val="24"/>
          <w:highlight w:val="none"/>
        </w:rPr>
        <w:t>：</w:t>
      </w:r>
    </w:p>
    <w:p w14:paraId="13B67C33">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default" w:ascii="宋体" w:hAnsi="宋体" w:eastAsia="宋体"/>
          <w:bCs/>
          <w:color w:val="auto"/>
          <w:sz w:val="24"/>
          <w:highlight w:val="none"/>
          <w:lang w:val="en-US" w:eastAsia="zh-CN"/>
        </w:rPr>
      </w:pPr>
      <w:r>
        <w:rPr>
          <w:rFonts w:hint="eastAsia" w:ascii="宋体" w:hAnsi="宋体"/>
          <w:bCs/>
          <w:color w:val="auto"/>
          <w:sz w:val="24"/>
          <w:highlight w:val="none"/>
          <w:lang w:eastAsia="zh-CN"/>
        </w:rPr>
        <w:t>（</w:t>
      </w:r>
      <w:r>
        <w:rPr>
          <w:rFonts w:hint="eastAsia" w:ascii="宋体" w:hAnsi="宋体"/>
          <w:bCs/>
          <w:color w:val="auto"/>
          <w:sz w:val="24"/>
          <w:highlight w:val="none"/>
          <w:lang w:val="en-US" w:eastAsia="zh-CN"/>
        </w:rPr>
        <w:t>一</w:t>
      </w:r>
      <w:r>
        <w:rPr>
          <w:rFonts w:hint="eastAsia" w:ascii="宋体" w:hAnsi="宋体"/>
          <w:bCs/>
          <w:color w:val="auto"/>
          <w:sz w:val="24"/>
          <w:highlight w:val="none"/>
          <w:lang w:eastAsia="zh-CN"/>
        </w:rPr>
        <w:t>）</w:t>
      </w:r>
      <w:r>
        <w:rPr>
          <w:rFonts w:hint="eastAsia" w:ascii="宋体" w:hAnsi="宋体"/>
          <w:bCs/>
          <w:color w:val="auto"/>
          <w:sz w:val="24"/>
          <w:highlight w:val="none"/>
          <w:lang w:val="en-US" w:eastAsia="zh-CN"/>
        </w:rPr>
        <w:t>项目名称：</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lang w:val="en-US" w:eastAsia="zh-CN"/>
        </w:rPr>
        <w:t xml:space="preserve">  </w:t>
      </w:r>
    </w:p>
    <w:p w14:paraId="44D01A2E">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bCs/>
          <w:color w:val="auto"/>
          <w:sz w:val="24"/>
          <w:highlight w:val="none"/>
        </w:rPr>
      </w:pPr>
      <w:r>
        <w:rPr>
          <w:rFonts w:hint="eastAsia" w:ascii="宋体" w:hAnsi="宋体"/>
          <w:bCs/>
          <w:color w:val="auto"/>
          <w:sz w:val="24"/>
          <w:highlight w:val="none"/>
          <w:lang w:eastAsia="zh-CN"/>
        </w:rPr>
        <w:t>（</w:t>
      </w:r>
      <w:r>
        <w:rPr>
          <w:rFonts w:hint="eastAsia" w:ascii="宋体" w:hAnsi="宋体"/>
          <w:bCs/>
          <w:color w:val="auto"/>
          <w:sz w:val="24"/>
          <w:highlight w:val="none"/>
          <w:lang w:val="en-US" w:eastAsia="zh-CN"/>
        </w:rPr>
        <w:t>二</w:t>
      </w:r>
      <w:r>
        <w:rPr>
          <w:rFonts w:hint="eastAsia" w:ascii="宋体" w:hAnsi="宋体"/>
          <w:bCs/>
          <w:color w:val="auto"/>
          <w:sz w:val="24"/>
          <w:highlight w:val="none"/>
          <w:lang w:eastAsia="zh-CN"/>
        </w:rPr>
        <w:t>）</w:t>
      </w:r>
      <w:r>
        <w:rPr>
          <w:rFonts w:hint="eastAsia" w:ascii="宋体" w:hAnsi="宋体"/>
          <w:bCs/>
          <w:color w:val="auto"/>
          <w:sz w:val="24"/>
          <w:highlight w:val="none"/>
        </w:rPr>
        <w:t>服务地点：</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rPr>
        <w:t xml:space="preserve">      </w:t>
      </w:r>
    </w:p>
    <w:p w14:paraId="079438C2">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color w:val="auto"/>
          <w:sz w:val="24"/>
          <w:highlight w:val="none"/>
        </w:rPr>
      </w:pPr>
      <w:r>
        <w:rPr>
          <w:rFonts w:hint="eastAsia" w:ascii="宋体" w:hAnsi="宋体"/>
          <w:bCs/>
          <w:color w:val="auto"/>
          <w:sz w:val="24"/>
          <w:highlight w:val="none"/>
        </w:rPr>
        <w:t>（</w:t>
      </w:r>
      <w:r>
        <w:rPr>
          <w:rFonts w:hint="eastAsia" w:ascii="宋体" w:hAnsi="宋体"/>
          <w:bCs/>
          <w:color w:val="auto"/>
          <w:sz w:val="24"/>
          <w:highlight w:val="none"/>
          <w:lang w:val="en-US" w:eastAsia="zh-CN"/>
        </w:rPr>
        <w:t>三</w:t>
      </w:r>
      <w:r>
        <w:rPr>
          <w:rFonts w:hint="eastAsia" w:ascii="宋体" w:hAnsi="宋体"/>
          <w:bCs/>
          <w:color w:val="auto"/>
          <w:sz w:val="24"/>
          <w:highlight w:val="none"/>
        </w:rPr>
        <w:t>）服务期</w:t>
      </w:r>
      <w:r>
        <w:rPr>
          <w:rFonts w:hint="eastAsia" w:ascii="宋体" w:hAnsi="宋体"/>
          <w:bCs/>
          <w:color w:val="auto"/>
          <w:sz w:val="24"/>
          <w:highlight w:val="none"/>
          <w:lang w:val="en-US" w:eastAsia="zh-CN"/>
        </w:rPr>
        <w:t>限</w:t>
      </w:r>
      <w:r>
        <w:rPr>
          <w:rFonts w:hint="eastAsia" w:ascii="宋体" w:hAnsi="宋体"/>
          <w:bCs/>
          <w:color w:val="auto"/>
          <w:sz w:val="24"/>
          <w:highlight w:val="none"/>
        </w:rPr>
        <w:t>：</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rPr>
        <w:t xml:space="preserve">      </w:t>
      </w:r>
    </w:p>
    <w:p w14:paraId="2A36B3AA">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default" w:ascii="宋体" w:hAnsi="宋体" w:eastAsia="宋体" w:cs="宋体"/>
          <w:b/>
          <w:bCs/>
          <w:color w:val="auto"/>
          <w:sz w:val="24"/>
          <w:highlight w:val="none"/>
          <w:lang w:val="en-US" w:eastAsia="zh-CN"/>
        </w:rPr>
      </w:pPr>
      <w:r>
        <w:rPr>
          <w:rFonts w:hint="eastAsia" w:ascii="宋体" w:hAnsi="宋体" w:eastAsia="宋体" w:cs="Times New Roman"/>
          <w:bCs/>
          <w:color w:val="auto"/>
          <w:sz w:val="24"/>
          <w:highlight w:val="none"/>
          <w:lang w:val="en-US" w:eastAsia="zh-CN"/>
        </w:rPr>
        <w:t>（四）项目概况：</w:t>
      </w:r>
      <w:r>
        <w:rPr>
          <w:rFonts w:hint="eastAsia" w:ascii="宋体" w:hAnsi="宋体" w:eastAsia="宋体" w:cs="Times New Roman"/>
          <w:bCs/>
          <w:color w:val="auto"/>
          <w:sz w:val="24"/>
          <w:highlight w:val="none"/>
          <w:u w:val="single"/>
          <w:lang w:val="en-US" w:eastAsia="zh-CN"/>
        </w:rPr>
        <w:t xml:space="preserve">                     </w:t>
      </w:r>
      <w:r>
        <w:rPr>
          <w:rFonts w:hint="eastAsia" w:ascii="宋体" w:hAnsi="宋体" w:eastAsia="宋体" w:cs="Times New Roman"/>
          <w:bCs/>
          <w:color w:val="auto"/>
          <w:sz w:val="24"/>
          <w:highlight w:val="none"/>
          <w:lang w:val="en-US" w:eastAsia="zh-CN"/>
        </w:rPr>
        <w:t xml:space="preserve">       </w:t>
      </w:r>
    </w:p>
    <w:p w14:paraId="2FD21084">
      <w:pPr>
        <w:pageBreakBefore w:val="0"/>
        <w:widowControl w:val="0"/>
        <w:kinsoku/>
        <w:wordWrap/>
        <w:overflowPunct/>
        <w:topLinePunct w:val="0"/>
        <w:autoSpaceDE w:val="0"/>
        <w:autoSpaceDN w:val="0"/>
        <w:bidi w:val="0"/>
        <w:adjustRightIn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二</w:t>
      </w:r>
      <w:r>
        <w:rPr>
          <w:rFonts w:hint="eastAsia" w:ascii="宋体" w:hAnsi="宋体" w:cs="宋体"/>
          <w:b/>
          <w:bCs/>
          <w:color w:val="auto"/>
          <w:sz w:val="24"/>
          <w:highlight w:val="none"/>
        </w:rPr>
        <w:t>、合同价款</w:t>
      </w:r>
    </w:p>
    <w:p w14:paraId="66EA69A1">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bCs/>
          <w:color w:val="auto"/>
          <w:sz w:val="24"/>
          <w:highlight w:val="none"/>
        </w:rPr>
      </w:pPr>
      <w:r>
        <w:rPr>
          <w:rFonts w:hint="eastAsia" w:ascii="宋体" w:hAnsi="宋体"/>
          <w:bCs/>
          <w:color w:val="auto"/>
          <w:sz w:val="24"/>
          <w:highlight w:val="none"/>
        </w:rPr>
        <w:t>（一）合同总价款为人民币（大写）</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r>
        <w:rPr>
          <w:rFonts w:hint="default" w:ascii="Arial" w:hAnsi="Arial" w:cs="Arial"/>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rPr>
        <w:t xml:space="preserve"> ）。</w:t>
      </w:r>
    </w:p>
    <w:p w14:paraId="7C42A2E1">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cs="宋体"/>
          <w:color w:val="auto"/>
          <w:sz w:val="24"/>
          <w:highlight w:val="none"/>
        </w:rPr>
      </w:pPr>
      <w:r>
        <w:rPr>
          <w:rFonts w:hint="eastAsia" w:ascii="宋体" w:hAnsi="宋体"/>
          <w:bCs/>
          <w:color w:val="auto"/>
          <w:sz w:val="24"/>
          <w:highlight w:val="none"/>
        </w:rPr>
        <w:t>（二）合同总价包括：</w:t>
      </w:r>
      <w:r>
        <w:rPr>
          <w:rFonts w:hint="eastAsia" w:ascii="宋体" w:hAnsi="宋体" w:cs="宋体"/>
          <w:color w:val="auto"/>
          <w:sz w:val="24"/>
          <w:highlight w:val="none"/>
        </w:rPr>
        <w:t>本项目所需的一切费用。</w:t>
      </w:r>
    </w:p>
    <w:p w14:paraId="18B88E1D">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（三）合同总价一次性包死，不受市场价格变化因素的影响。</w:t>
      </w:r>
    </w:p>
    <w:p w14:paraId="3648A420">
      <w:pPr>
        <w:pageBreakBefore w:val="0"/>
        <w:widowControl w:val="0"/>
        <w:kinsoku/>
        <w:wordWrap/>
        <w:overflowPunct/>
        <w:topLinePunct w:val="0"/>
        <w:autoSpaceDE w:val="0"/>
        <w:autoSpaceDN w:val="0"/>
        <w:bidi w:val="0"/>
        <w:adjustRightInd w:val="0"/>
        <w:spacing w:line="360" w:lineRule="auto"/>
        <w:ind w:firstLine="482" w:firstLineChars="200"/>
        <w:textAlignment w:val="auto"/>
        <w:rPr>
          <w:rFonts w:ascii="宋体" w:hAnsi="宋体"/>
          <w:b/>
          <w:bCs/>
          <w:color w:val="auto"/>
          <w:sz w:val="24"/>
          <w:highlight w:val="none"/>
        </w:rPr>
      </w:pPr>
      <w:r>
        <w:rPr>
          <w:rFonts w:hint="eastAsia" w:ascii="宋体" w:hAnsi="宋体"/>
          <w:b/>
          <w:bCs/>
          <w:color w:val="auto"/>
          <w:sz w:val="24"/>
          <w:highlight w:val="none"/>
        </w:rPr>
        <w:t>三、款项结算</w:t>
      </w:r>
    </w:p>
    <w:p w14:paraId="268EDC37">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bCs/>
          <w:color w:val="auto"/>
          <w:sz w:val="24"/>
          <w:highlight w:val="none"/>
        </w:rPr>
      </w:pPr>
      <w:r>
        <w:rPr>
          <w:rFonts w:hint="eastAsia" w:ascii="宋体" w:hAnsi="宋体"/>
          <w:bCs/>
          <w:color w:val="auto"/>
          <w:sz w:val="24"/>
          <w:highlight w:val="none"/>
        </w:rPr>
        <w:t>（一）</w:t>
      </w:r>
      <w:r>
        <w:rPr>
          <w:rFonts w:hint="eastAsia" w:ascii="宋体" w:hAnsi="宋体"/>
          <w:bCs/>
          <w:color w:val="auto"/>
          <w:sz w:val="24"/>
          <w:highlight w:val="none"/>
          <w:lang w:val="en-US" w:eastAsia="zh-CN"/>
        </w:rPr>
        <w:t>支付方式</w:t>
      </w:r>
      <w:r>
        <w:rPr>
          <w:rFonts w:hint="eastAsia" w:ascii="宋体" w:hAnsi="宋体"/>
          <w:bCs/>
          <w:color w:val="auto"/>
          <w:sz w:val="24"/>
          <w:highlight w:val="none"/>
        </w:rPr>
        <w:t>：</w:t>
      </w:r>
      <w:r>
        <w:rPr>
          <w:rFonts w:hint="eastAsia" w:ascii="宋体" w:hAnsi="宋体"/>
          <w:bCs/>
          <w:color w:val="auto"/>
          <w:sz w:val="24"/>
          <w:highlight w:val="none"/>
          <w:u w:val="single"/>
        </w:rPr>
        <w:t>银行转账</w:t>
      </w:r>
      <w:r>
        <w:rPr>
          <w:rFonts w:hint="eastAsia" w:ascii="宋体" w:hAnsi="宋体"/>
          <w:bCs/>
          <w:color w:val="auto"/>
          <w:sz w:val="24"/>
          <w:highlight w:val="none"/>
        </w:rPr>
        <w:t>。</w:t>
      </w:r>
    </w:p>
    <w:p w14:paraId="23D73818">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bCs/>
          <w:color w:val="auto"/>
          <w:sz w:val="24"/>
          <w:highlight w:val="none"/>
        </w:rPr>
      </w:pPr>
      <w:r>
        <w:rPr>
          <w:rFonts w:hint="eastAsia" w:ascii="宋体" w:hAnsi="宋体"/>
          <w:bCs/>
          <w:color w:val="auto"/>
          <w:sz w:val="24"/>
          <w:highlight w:val="none"/>
        </w:rPr>
        <w:t>（二）</w:t>
      </w:r>
      <w:r>
        <w:rPr>
          <w:rFonts w:hint="eastAsia" w:ascii="宋体" w:hAnsi="宋体"/>
          <w:bCs/>
          <w:color w:val="auto"/>
          <w:sz w:val="24"/>
          <w:highlight w:val="none"/>
          <w:lang w:val="en-US" w:eastAsia="zh-CN"/>
        </w:rPr>
        <w:t>付款进度</w:t>
      </w:r>
      <w:r>
        <w:rPr>
          <w:rFonts w:hint="eastAsia" w:ascii="宋体" w:hAnsi="宋体"/>
          <w:bCs/>
          <w:color w:val="auto"/>
          <w:sz w:val="24"/>
          <w:highlight w:val="none"/>
        </w:rPr>
        <w:t>：服务费按</w:t>
      </w:r>
      <w:r>
        <w:rPr>
          <w:rFonts w:hint="eastAsia" w:ascii="宋体" w:hAnsi="宋体"/>
          <w:bCs/>
          <w:color w:val="auto"/>
          <w:sz w:val="24"/>
          <w:highlight w:val="none"/>
          <w:lang w:val="en-US" w:eastAsia="zh-CN"/>
        </w:rPr>
        <w:t>季度（每三个月）</w:t>
      </w:r>
      <w:r>
        <w:rPr>
          <w:rFonts w:hint="eastAsia" w:ascii="宋体" w:hAnsi="宋体"/>
          <w:bCs/>
          <w:color w:val="auto"/>
          <w:sz w:val="24"/>
          <w:highlight w:val="none"/>
        </w:rPr>
        <w:t>结算支付；每月15日前甲方结算，付款前乙方向甲方提供全额发票，甲方收到发票后，以银行转账方式结算</w:t>
      </w:r>
      <w:r>
        <w:rPr>
          <w:rFonts w:hint="eastAsia" w:ascii="宋体" w:hAnsi="宋体"/>
          <w:bCs/>
          <w:color w:val="auto"/>
          <w:sz w:val="24"/>
          <w:highlight w:val="none"/>
          <w:lang w:val="en-US" w:eastAsia="zh-CN"/>
        </w:rPr>
        <w:t>上季度</w:t>
      </w:r>
      <w:r>
        <w:rPr>
          <w:rFonts w:hint="eastAsia" w:ascii="宋体" w:hAnsi="宋体"/>
          <w:bCs/>
          <w:color w:val="auto"/>
          <w:sz w:val="24"/>
          <w:highlight w:val="none"/>
        </w:rPr>
        <w:t>服务费。</w:t>
      </w:r>
    </w:p>
    <w:p w14:paraId="663F33B2">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rPr>
        <w:t>四、</w:t>
      </w:r>
      <w:r>
        <w:rPr>
          <w:rFonts w:hint="eastAsia" w:ascii="宋体" w:hAnsi="宋体" w:cs="宋体"/>
          <w:b/>
          <w:bCs/>
          <w:color w:val="auto"/>
          <w:sz w:val="24"/>
          <w:highlight w:val="none"/>
          <w:lang w:val="en-US" w:eastAsia="zh-CN"/>
        </w:rPr>
        <w:t>验收</w:t>
      </w:r>
    </w:p>
    <w:p w14:paraId="0A3AD3E4">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（一）</w:t>
      </w:r>
      <w:r>
        <w:rPr>
          <w:rFonts w:hint="eastAsia" w:ascii="宋体" w:hAnsi="宋体"/>
          <w:bCs/>
          <w:color w:val="auto"/>
          <w:sz w:val="24"/>
          <w:highlight w:val="none"/>
          <w:lang w:val="en-US" w:eastAsia="zh-CN"/>
        </w:rPr>
        <w:t>乙方</w:t>
      </w:r>
      <w:r>
        <w:rPr>
          <w:rFonts w:hint="eastAsia" w:ascii="宋体" w:hAnsi="宋体"/>
          <w:bCs/>
          <w:color w:val="auto"/>
          <w:sz w:val="24"/>
          <w:highlight w:val="none"/>
        </w:rPr>
        <w:t>配合</w:t>
      </w:r>
      <w:r>
        <w:rPr>
          <w:rFonts w:hint="eastAsia" w:ascii="宋体" w:hAnsi="宋体"/>
          <w:bCs/>
          <w:color w:val="auto"/>
          <w:sz w:val="24"/>
          <w:highlight w:val="none"/>
          <w:lang w:val="en-US" w:eastAsia="zh-CN"/>
        </w:rPr>
        <w:t>甲方</w:t>
      </w:r>
      <w:r>
        <w:rPr>
          <w:rFonts w:hint="eastAsia" w:ascii="宋体" w:hAnsi="宋体"/>
          <w:bCs/>
          <w:color w:val="auto"/>
          <w:sz w:val="24"/>
          <w:highlight w:val="none"/>
        </w:rPr>
        <w:t>验收。</w:t>
      </w:r>
    </w:p>
    <w:p w14:paraId="123D552D">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bCs/>
          <w:color w:val="auto"/>
          <w:sz w:val="24"/>
          <w:highlight w:val="green"/>
        </w:rPr>
      </w:pPr>
      <w:r>
        <w:rPr>
          <w:rFonts w:hint="eastAsia" w:ascii="宋体" w:hAnsi="宋体"/>
          <w:bCs/>
          <w:color w:val="auto"/>
          <w:sz w:val="24"/>
          <w:highlight w:val="none"/>
        </w:rPr>
        <w:t>（二）验收</w:t>
      </w:r>
      <w:r>
        <w:rPr>
          <w:rFonts w:hint="eastAsia" w:ascii="宋体" w:hAnsi="宋体"/>
          <w:bCs/>
          <w:color w:val="auto"/>
          <w:sz w:val="24"/>
          <w:highlight w:val="none"/>
          <w:lang w:val="en-US" w:eastAsia="zh-CN"/>
        </w:rPr>
        <w:t>标准和方法</w:t>
      </w:r>
      <w:r>
        <w:rPr>
          <w:rFonts w:hint="eastAsia" w:ascii="宋体" w:hAnsi="宋体"/>
          <w:bCs/>
          <w:color w:val="auto"/>
          <w:sz w:val="24"/>
          <w:highlight w:val="none"/>
        </w:rPr>
        <w:t>：1、验收：</w:t>
      </w:r>
      <w:r>
        <w:rPr>
          <w:rFonts w:hint="eastAsia" w:ascii="宋体" w:hAnsi="宋体"/>
          <w:bCs/>
          <w:color w:val="auto"/>
          <w:sz w:val="24"/>
          <w:highlight w:val="none"/>
          <w:lang w:val="en-US" w:eastAsia="zh-CN"/>
        </w:rPr>
        <w:t>乙方</w:t>
      </w:r>
      <w:r>
        <w:rPr>
          <w:rFonts w:hint="eastAsia" w:ascii="宋体" w:hAnsi="宋体"/>
          <w:bCs/>
          <w:color w:val="auto"/>
          <w:sz w:val="24"/>
          <w:highlight w:val="none"/>
        </w:rPr>
        <w:t>配合</w:t>
      </w:r>
      <w:r>
        <w:rPr>
          <w:rFonts w:hint="eastAsia" w:ascii="宋体" w:hAnsi="宋体"/>
          <w:bCs/>
          <w:color w:val="auto"/>
          <w:sz w:val="24"/>
          <w:highlight w:val="none"/>
          <w:lang w:val="en-US" w:eastAsia="zh-CN"/>
        </w:rPr>
        <w:t>甲方</w:t>
      </w:r>
      <w:r>
        <w:rPr>
          <w:rFonts w:hint="eastAsia" w:ascii="宋体" w:hAnsi="宋体"/>
          <w:bCs/>
          <w:color w:val="auto"/>
          <w:sz w:val="24"/>
          <w:highlight w:val="none"/>
        </w:rPr>
        <w:t>验收；若存在验收费用，由</w:t>
      </w:r>
      <w:r>
        <w:rPr>
          <w:rFonts w:hint="eastAsia" w:ascii="宋体" w:hAnsi="宋体"/>
          <w:bCs/>
          <w:color w:val="auto"/>
          <w:sz w:val="24"/>
          <w:highlight w:val="none"/>
          <w:lang w:val="en-US" w:eastAsia="zh-CN"/>
        </w:rPr>
        <w:t>乙方</w:t>
      </w:r>
      <w:r>
        <w:rPr>
          <w:rFonts w:hint="eastAsia" w:ascii="宋体" w:hAnsi="宋体"/>
          <w:bCs/>
          <w:color w:val="auto"/>
          <w:sz w:val="24"/>
          <w:highlight w:val="none"/>
        </w:rPr>
        <w:t>自行承担。每月甲方组织验收，经综合验收合格后，由乙方向甲方提交付款申请书及相应清单、票据等报账资料，经甲方审定确认无误按照合同约定条款支付乙方所产生的费用。2、验收标准：验收以合同、采购文件、采购响应文件、澄清及国家相应的标准、规范等为依据。双方如对质量要求和技术指标的约定标准有相互抵触或异议的事项，由</w:t>
      </w:r>
      <w:r>
        <w:rPr>
          <w:rFonts w:hint="eastAsia" w:ascii="宋体" w:hAnsi="宋体"/>
          <w:bCs/>
          <w:color w:val="auto"/>
          <w:sz w:val="24"/>
          <w:highlight w:val="none"/>
          <w:lang w:val="en-US" w:eastAsia="zh-CN"/>
        </w:rPr>
        <w:t>甲方</w:t>
      </w:r>
      <w:r>
        <w:rPr>
          <w:rFonts w:hint="eastAsia" w:ascii="宋体" w:hAnsi="宋体"/>
          <w:bCs/>
          <w:color w:val="auto"/>
          <w:sz w:val="24"/>
          <w:highlight w:val="none"/>
        </w:rPr>
        <w:t>在采购与响应文件中按质量要求和技术指标比较优胜的原则确定该项的约定标准进行验收；如</w:t>
      </w:r>
      <w:r>
        <w:rPr>
          <w:rFonts w:hint="eastAsia" w:ascii="宋体" w:hAnsi="宋体"/>
          <w:bCs/>
          <w:color w:val="auto"/>
          <w:sz w:val="24"/>
          <w:highlight w:val="none"/>
          <w:lang w:val="en-US" w:eastAsia="zh-CN"/>
        </w:rPr>
        <w:t>甲方</w:t>
      </w:r>
      <w:r>
        <w:rPr>
          <w:rFonts w:hint="eastAsia" w:ascii="宋体" w:hAnsi="宋体"/>
          <w:bCs/>
          <w:color w:val="auto"/>
          <w:sz w:val="24"/>
          <w:highlight w:val="none"/>
        </w:rPr>
        <w:t>有其他要求，不违背相关法律规定前提下，</w:t>
      </w:r>
      <w:r>
        <w:rPr>
          <w:rFonts w:hint="eastAsia" w:ascii="宋体" w:hAnsi="宋体"/>
          <w:bCs/>
          <w:color w:val="auto"/>
          <w:sz w:val="24"/>
          <w:highlight w:val="none"/>
          <w:lang w:val="en-US" w:eastAsia="zh-CN"/>
        </w:rPr>
        <w:t>乙方</w:t>
      </w:r>
      <w:r>
        <w:rPr>
          <w:rFonts w:hint="eastAsia" w:ascii="宋体" w:hAnsi="宋体"/>
          <w:bCs/>
          <w:color w:val="auto"/>
          <w:sz w:val="24"/>
          <w:highlight w:val="none"/>
        </w:rPr>
        <w:t>也应当遵守。3、履约验收其他事项：其他未尽事宜应严格按照财政部关于进一步加强政府采购需求和履约验收管理的指导意见（财库〔2016〕205 号）的要求进行。</w:t>
      </w:r>
    </w:p>
    <w:p w14:paraId="168A4BAB">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五</w:t>
      </w:r>
      <w:r>
        <w:rPr>
          <w:rFonts w:hint="eastAsia" w:ascii="宋体" w:hAnsi="宋体" w:cs="宋体"/>
          <w:b/>
          <w:bCs/>
          <w:color w:val="auto"/>
          <w:sz w:val="24"/>
          <w:highlight w:val="none"/>
        </w:rPr>
        <w:t>、双方的权利和义务</w:t>
      </w:r>
    </w:p>
    <w:p w14:paraId="64614F01">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（一）甲方的权利与义务</w:t>
      </w:r>
    </w:p>
    <w:p w14:paraId="36C9168F">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1.甲方负责配合本次项目服务工作；</w:t>
      </w:r>
    </w:p>
    <w:p w14:paraId="33458DDA">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2.甲方应按本合同的约定向乙方支付合同价款；</w:t>
      </w:r>
    </w:p>
    <w:p w14:paraId="6B5BC635">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3.甲方根据需要对乙方提供的服务方案进行审核，提供建议及意见，确定最终实施的服务方案，以便乙方遵照执行；</w:t>
      </w:r>
    </w:p>
    <w:p w14:paraId="3CCF3BF4">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4.甲方有权对乙方的工作进行监督和考核。</w:t>
      </w:r>
    </w:p>
    <w:p w14:paraId="1FE06610">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（二）乙方的权利与义务</w:t>
      </w:r>
    </w:p>
    <w:p w14:paraId="1D287B9E">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1.乙方的工作人员必须严格遵守甲方的规章制度，以良好的形象和积极的工作态度，按甲方要求开展工作；</w:t>
      </w:r>
    </w:p>
    <w:p w14:paraId="4D2535E7">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2.乙方应服从甲方统筹管理并按流程开展工作；</w:t>
      </w:r>
    </w:p>
    <w:p w14:paraId="787DE54D">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bCs/>
          <w:color w:val="auto"/>
          <w:sz w:val="24"/>
          <w:highlight w:val="none"/>
        </w:rPr>
        <w:t>3.乙方在服务期间发布的任何涉及有关甲方的相关信息，需经甲方确认无误后方可公布。</w:t>
      </w:r>
    </w:p>
    <w:p w14:paraId="1104B742">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color w:val="auto"/>
          <w:sz w:val="24"/>
          <w:highlight w:val="green"/>
        </w:rPr>
      </w:pPr>
      <w:r>
        <w:rPr>
          <w:rFonts w:hint="eastAsia" w:ascii="宋体" w:hAnsi="宋体" w:cs="宋体"/>
          <w:b/>
          <w:color w:val="auto"/>
          <w:sz w:val="24"/>
          <w:highlight w:val="none"/>
          <w:lang w:val="en-US" w:eastAsia="zh-CN"/>
        </w:rPr>
        <w:t>六</w:t>
      </w:r>
      <w:r>
        <w:rPr>
          <w:rFonts w:hint="eastAsia" w:ascii="宋体" w:hAnsi="宋体" w:cs="宋体"/>
          <w:b/>
          <w:color w:val="auto"/>
          <w:sz w:val="24"/>
          <w:highlight w:val="none"/>
        </w:rPr>
        <w:t>、服务质量保证</w:t>
      </w:r>
    </w:p>
    <w:p w14:paraId="57F0CF95">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（一）乙方需派一名项目负责人，直接与甲方沟通，项目负责人接收甲方提出的问题与要求，并及时反馈给工作组，解决在项目实施过程中遇到的问题。</w:t>
      </w:r>
    </w:p>
    <w:p w14:paraId="298A20A3">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（二）项目在实施过程中会出现不可预料的需求变更，乙方需积极配合甲方的需求变更，并按照变更后的需求继续进行方案实施。</w:t>
      </w:r>
    </w:p>
    <w:p w14:paraId="0F99A17D">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（三）乙方需提交所有实施方案流程及说明文档。</w:t>
      </w:r>
    </w:p>
    <w:p w14:paraId="2E50CFCE">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七</w:t>
      </w:r>
      <w:r>
        <w:rPr>
          <w:rFonts w:hint="eastAsia" w:ascii="宋体" w:hAnsi="宋体" w:cs="宋体"/>
          <w:b/>
          <w:bCs/>
          <w:color w:val="auto"/>
          <w:sz w:val="24"/>
          <w:highlight w:val="none"/>
        </w:rPr>
        <w:t>、知识产权</w:t>
      </w:r>
    </w:p>
    <w:p w14:paraId="645A13B4">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（一）本项目所涉及到的所有成果的知识产权归甲方所有。 </w:t>
      </w:r>
    </w:p>
    <w:p w14:paraId="7F30D24C">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（二）乙方无论出于任何目的如在其他地方使用该成果，必须经甲方同意方可使用。否则，贵甲方有权要求终止涉及到该知识产权的任何使用活动并保留追究卖方相应的法律责任的权利。 </w:t>
      </w:r>
    </w:p>
    <w:p w14:paraId="2BF012ED">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pacing w:val="-17"/>
          <w:sz w:val="24"/>
          <w:highlight w:val="none"/>
        </w:rPr>
      </w:pPr>
      <w:r>
        <w:rPr>
          <w:rFonts w:hint="eastAsia" w:ascii="宋体" w:hAnsi="宋体" w:cs="宋体"/>
          <w:color w:val="auto"/>
          <w:sz w:val="24"/>
          <w:highlight w:val="none"/>
        </w:rPr>
        <w:t>（三）乙方为执行本合同而提供的技术资料使用权归甲方所有。</w:t>
      </w:r>
    </w:p>
    <w:p w14:paraId="011A4272">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八</w:t>
      </w:r>
      <w:r>
        <w:rPr>
          <w:rFonts w:hint="eastAsia" w:ascii="宋体" w:hAnsi="宋体" w:cs="宋体"/>
          <w:b/>
          <w:bCs/>
          <w:color w:val="auto"/>
          <w:sz w:val="24"/>
          <w:highlight w:val="none"/>
        </w:rPr>
        <w:t>、其它事项</w:t>
      </w:r>
    </w:p>
    <w:p w14:paraId="44569D1D">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（一）乙方不得转让、分包给其它单位或个人。</w:t>
      </w:r>
    </w:p>
    <w:p w14:paraId="17E042E1">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（二）乙方的磋商响应文件和承诺等内容将列入合同。</w:t>
      </w:r>
    </w:p>
    <w:p w14:paraId="2FF4E41F">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九</w:t>
      </w:r>
      <w:r>
        <w:rPr>
          <w:rFonts w:hint="eastAsia" w:ascii="宋体" w:hAnsi="宋体" w:cs="宋体"/>
          <w:b/>
          <w:bCs/>
          <w:color w:val="auto"/>
          <w:sz w:val="24"/>
          <w:highlight w:val="none"/>
        </w:rPr>
        <w:t>、违约责任</w:t>
      </w:r>
    </w:p>
    <w:p w14:paraId="56430126">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（一）</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按《中华人民共和国政府采购法》、《中华人民共和国民法典》中的相关条款执行。</w:t>
      </w:r>
    </w:p>
    <w:p w14:paraId="7CBB470D">
      <w:pPr>
        <w:pageBreakBefore w:val="0"/>
        <w:widowControl w:val="0"/>
        <w:numPr>
          <w:ilvl w:val="0"/>
          <w:numId w:val="1"/>
        </w:numPr>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未按合同或磋商文件要求提供服务或服务质量不能满足采购人技术要求，采购人有权终止合同，甚至对供应商违约行为进行追究。</w:t>
      </w:r>
    </w:p>
    <w:p w14:paraId="68C977C5">
      <w:pPr>
        <w:pageBreakBefore w:val="0"/>
        <w:widowControl w:val="0"/>
        <w:numPr>
          <w:ilvl w:val="0"/>
          <w:numId w:val="1"/>
        </w:numPr>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供应商的响应文件为签订正式书面合同书不可分割的部分，供应商应履行相应的责任。</w:t>
      </w:r>
    </w:p>
    <w:p w14:paraId="43647950">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十</w:t>
      </w:r>
      <w:r>
        <w:rPr>
          <w:rFonts w:hint="eastAsia" w:ascii="宋体" w:hAnsi="宋体" w:cs="宋体"/>
          <w:b/>
          <w:bCs/>
          <w:color w:val="auto"/>
          <w:sz w:val="24"/>
          <w:highlight w:val="none"/>
        </w:rPr>
        <w:t>、合同争议解决的方式</w:t>
      </w:r>
    </w:p>
    <w:p w14:paraId="5E3D3BAF">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本合同在履行过程中发生的争议，由甲、乙双方当事人协商解决，协商不成的按下列第</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种方式解决：</w:t>
      </w:r>
    </w:p>
    <w:p w14:paraId="17B201BB">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（一）提交</w:t>
      </w:r>
      <w:r>
        <w:rPr>
          <w:rFonts w:hint="eastAsia" w:ascii="宋体" w:hAnsi="宋体" w:cs="宋体"/>
          <w:bCs/>
          <w:color w:val="auto"/>
          <w:sz w:val="24"/>
          <w:highlight w:val="none"/>
          <w:lang w:eastAsia="zh-CN"/>
        </w:rPr>
        <w:t>西安</w:t>
      </w:r>
      <w:r>
        <w:rPr>
          <w:rFonts w:hint="eastAsia" w:ascii="宋体" w:hAnsi="宋体" w:cs="宋体"/>
          <w:bCs/>
          <w:color w:val="auto"/>
          <w:sz w:val="24"/>
          <w:highlight w:val="none"/>
        </w:rPr>
        <w:t>市仲裁委员会仲裁；</w:t>
      </w:r>
    </w:p>
    <w:p w14:paraId="1C094BFD">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（二）依法向甲方所在地人民法院起诉。</w:t>
      </w:r>
    </w:p>
    <w:p w14:paraId="1EEE4520">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十</w:t>
      </w:r>
      <w:r>
        <w:rPr>
          <w:rFonts w:hint="eastAsia" w:ascii="宋体" w:hAnsi="宋体" w:cs="宋体"/>
          <w:b/>
          <w:bCs/>
          <w:color w:val="auto"/>
          <w:sz w:val="24"/>
          <w:highlight w:val="none"/>
          <w:lang w:val="en-US" w:eastAsia="zh-CN"/>
        </w:rPr>
        <w:t>一</w:t>
      </w:r>
      <w:r>
        <w:rPr>
          <w:rFonts w:hint="eastAsia" w:ascii="宋体" w:hAnsi="宋体" w:cs="宋体"/>
          <w:b/>
          <w:bCs/>
          <w:color w:val="auto"/>
          <w:sz w:val="24"/>
          <w:highlight w:val="none"/>
        </w:rPr>
        <w:t>、合同生效</w:t>
      </w:r>
    </w:p>
    <w:p w14:paraId="411391D4">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（一）本合同须经甲、乙双方的法定代表人（授权代理人）在合同书上签字并加盖本单位公章后正式生效。</w:t>
      </w:r>
    </w:p>
    <w:p w14:paraId="36943030">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（二）合同生效后，甲、乙双方须严格执行本合同条款的规定，全面履行合同，违者按《中华人民共和国</w:t>
      </w:r>
      <w:r>
        <w:rPr>
          <w:rFonts w:hint="eastAsia" w:ascii="宋体" w:hAnsi="宋体" w:cs="宋体"/>
          <w:bCs/>
          <w:color w:val="auto"/>
          <w:sz w:val="24"/>
          <w:highlight w:val="none"/>
          <w:lang w:val="en-US" w:eastAsia="zh-CN"/>
        </w:rPr>
        <w:t>民法典</w:t>
      </w:r>
      <w:r>
        <w:rPr>
          <w:rFonts w:hint="eastAsia" w:ascii="宋体" w:hAnsi="宋体" w:cs="宋体"/>
          <w:bCs/>
          <w:color w:val="auto"/>
          <w:sz w:val="24"/>
          <w:highlight w:val="none"/>
        </w:rPr>
        <w:t>》的有关规定承担相应责任。</w:t>
      </w:r>
    </w:p>
    <w:p w14:paraId="7A5EABA8">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（三）。本合同一式</w:t>
      </w:r>
      <w:r>
        <w:rPr>
          <w:rFonts w:hint="eastAsia" w:ascii="宋体" w:hAnsi="宋体" w:eastAsia="宋体" w:cs="宋体"/>
          <w:bCs/>
          <w:color w:val="auto"/>
          <w:sz w:val="24"/>
          <w:highlight w:val="none"/>
          <w:u w:val="single"/>
        </w:rPr>
        <w:t xml:space="preserve"> 肆 </w:t>
      </w:r>
      <w:r>
        <w:rPr>
          <w:rFonts w:hint="eastAsia" w:ascii="宋体" w:hAnsi="宋体" w:eastAsia="宋体" w:cs="宋体"/>
          <w:bCs/>
          <w:color w:val="auto"/>
          <w:sz w:val="24"/>
          <w:highlight w:val="none"/>
        </w:rPr>
        <w:t>份，甲乙双方各执</w:t>
      </w:r>
      <w:r>
        <w:rPr>
          <w:rFonts w:hint="eastAsia" w:ascii="宋体" w:hAnsi="宋体" w:eastAsia="宋体" w:cs="宋体"/>
          <w:bCs/>
          <w:color w:val="auto"/>
          <w:sz w:val="24"/>
          <w:highlight w:val="none"/>
          <w:u w:val="single"/>
        </w:rPr>
        <w:t xml:space="preserve">  贰  </w:t>
      </w:r>
      <w:r>
        <w:rPr>
          <w:rFonts w:hint="eastAsia" w:ascii="宋体" w:hAnsi="宋体" w:eastAsia="宋体" w:cs="宋体"/>
          <w:bCs/>
          <w:color w:val="auto"/>
          <w:sz w:val="24"/>
          <w:highlight w:val="none"/>
        </w:rPr>
        <w:t>份</w:t>
      </w:r>
      <w:r>
        <w:rPr>
          <w:rFonts w:hint="eastAsia" w:ascii="宋体" w:hAnsi="宋体" w:eastAsia="宋体" w:cs="宋体"/>
          <w:bCs/>
          <w:color w:val="auto"/>
          <w:sz w:val="24"/>
          <w:highlight w:val="none"/>
          <w:lang w:eastAsia="zh-CN"/>
        </w:rPr>
        <w:t>。</w:t>
      </w:r>
    </w:p>
    <w:p w14:paraId="68BDD79A">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（四）本合同如有未尽事宜，甲、乙双方协商解决。 </w:t>
      </w:r>
    </w:p>
    <w:p w14:paraId="14763992"/>
    <w:p w14:paraId="1B39DA58">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采购人(甲方)：</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（公章）  供应商(乙方)：</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（公章）</w:t>
      </w:r>
    </w:p>
    <w:p w14:paraId="6A174E24">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fldChar w:fldCharType="begin"/>
      </w:r>
      <w:r>
        <w:rPr>
          <w:rFonts w:hint="eastAsia" w:ascii="宋体" w:hAnsi="宋体" w:eastAsia="宋体" w:cs="宋体"/>
          <w:bCs/>
          <w:color w:val="auto"/>
          <w:sz w:val="24"/>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highlight w:val="none"/>
        </w:rPr>
        <w:fldChar w:fldCharType="separate"/>
      </w:r>
      <w:r>
        <w:rPr>
          <w:rFonts w:hint="eastAsia" w:ascii="宋体" w:hAnsi="宋体" w:eastAsia="宋体" w:cs="宋体"/>
          <w:bCs/>
          <w:color w:val="auto"/>
          <w:sz w:val="24"/>
          <w:highlight w:val="none"/>
        </w:rPr>
        <w:t>法定代表人</w:t>
      </w:r>
      <w:r>
        <w:rPr>
          <w:rFonts w:hint="eastAsia" w:ascii="宋体" w:hAnsi="宋体" w:eastAsia="宋体" w:cs="宋体"/>
          <w:bCs/>
          <w:color w:val="auto"/>
          <w:sz w:val="24"/>
          <w:highlight w:val="none"/>
        </w:rPr>
        <w:fldChar w:fldCharType="end"/>
      </w: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rPr>
        <w:fldChar w:fldCharType="begin"/>
      </w:r>
      <w:r>
        <w:rPr>
          <w:rFonts w:hint="eastAsia" w:ascii="宋体" w:hAnsi="宋体" w:eastAsia="宋体" w:cs="宋体"/>
          <w:bCs/>
          <w:color w:val="auto"/>
          <w:sz w:val="24"/>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highlight w:val="none"/>
        </w:rPr>
        <w:fldChar w:fldCharType="separate"/>
      </w:r>
      <w:r>
        <w:rPr>
          <w:rFonts w:hint="eastAsia" w:ascii="宋体" w:hAnsi="宋体" w:eastAsia="宋体" w:cs="宋体"/>
          <w:bCs/>
          <w:color w:val="auto"/>
          <w:sz w:val="24"/>
          <w:highlight w:val="none"/>
        </w:rPr>
        <w:t>法定代表人</w:t>
      </w:r>
      <w:r>
        <w:rPr>
          <w:rFonts w:hint="eastAsia" w:ascii="宋体" w:hAnsi="宋体" w:eastAsia="宋体" w:cs="宋体"/>
          <w:bCs/>
          <w:color w:val="auto"/>
          <w:sz w:val="24"/>
          <w:highlight w:val="none"/>
        </w:rPr>
        <w:fldChar w:fldCharType="end"/>
      </w:r>
      <w:r>
        <w:rPr>
          <w:rFonts w:hint="eastAsia" w:ascii="宋体" w:hAnsi="宋体" w:eastAsia="宋体" w:cs="宋体"/>
          <w:bCs/>
          <w:color w:val="auto"/>
          <w:sz w:val="24"/>
          <w:highlight w:val="none"/>
        </w:rPr>
        <w:t xml:space="preserve">                  </w:t>
      </w:r>
    </w:p>
    <w:p w14:paraId="240093F4">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或</w:t>
      </w:r>
      <w:r>
        <w:rPr>
          <w:rFonts w:hint="eastAsia" w:ascii="宋体" w:hAnsi="宋体" w:eastAsia="宋体" w:cs="宋体"/>
          <w:bCs/>
          <w:color w:val="auto"/>
          <w:sz w:val="24"/>
          <w:highlight w:val="none"/>
        </w:rPr>
        <w:fldChar w:fldCharType="begin"/>
      </w:r>
      <w:r>
        <w:rPr>
          <w:rFonts w:hint="eastAsia" w:ascii="宋体" w:hAnsi="宋体" w:eastAsia="宋体" w:cs="宋体"/>
          <w:bCs/>
          <w:color w:val="auto"/>
          <w:sz w:val="24"/>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highlight w:val="none"/>
        </w:rPr>
        <w:fldChar w:fldCharType="separate"/>
      </w:r>
      <w:r>
        <w:rPr>
          <w:rFonts w:hint="eastAsia" w:ascii="宋体" w:hAnsi="宋体" w:eastAsia="宋体" w:cs="宋体"/>
          <w:bCs/>
          <w:color w:val="auto"/>
          <w:sz w:val="24"/>
          <w:highlight w:val="none"/>
        </w:rPr>
        <w:t>委托代理人</w:t>
      </w:r>
      <w:r>
        <w:rPr>
          <w:rFonts w:hint="eastAsia" w:ascii="宋体" w:hAnsi="宋体" w:eastAsia="宋体" w:cs="宋体"/>
          <w:bCs/>
          <w:color w:val="auto"/>
          <w:sz w:val="24"/>
          <w:highlight w:val="none"/>
        </w:rPr>
        <w:fldChar w:fldCharType="end"/>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（签字或盖章）或</w:t>
      </w:r>
      <w:r>
        <w:rPr>
          <w:rFonts w:hint="eastAsia" w:ascii="宋体" w:hAnsi="宋体" w:eastAsia="宋体" w:cs="宋体"/>
          <w:bCs/>
          <w:color w:val="auto"/>
          <w:sz w:val="24"/>
          <w:highlight w:val="none"/>
        </w:rPr>
        <w:fldChar w:fldCharType="begin"/>
      </w:r>
      <w:r>
        <w:rPr>
          <w:rFonts w:hint="eastAsia" w:ascii="宋体" w:hAnsi="宋体" w:eastAsia="宋体" w:cs="宋体"/>
          <w:bCs/>
          <w:color w:val="auto"/>
          <w:sz w:val="24"/>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highlight w:val="none"/>
        </w:rPr>
        <w:fldChar w:fldCharType="separate"/>
      </w:r>
      <w:r>
        <w:rPr>
          <w:rFonts w:hint="eastAsia" w:ascii="宋体" w:hAnsi="宋体" w:eastAsia="宋体" w:cs="宋体"/>
          <w:bCs/>
          <w:color w:val="auto"/>
          <w:sz w:val="24"/>
          <w:highlight w:val="none"/>
        </w:rPr>
        <w:t>委托代理人</w:t>
      </w:r>
      <w:r>
        <w:rPr>
          <w:rFonts w:hint="eastAsia" w:ascii="宋体" w:hAnsi="宋体" w:eastAsia="宋体" w:cs="宋体"/>
          <w:bCs/>
          <w:color w:val="auto"/>
          <w:sz w:val="24"/>
          <w:highlight w:val="none"/>
        </w:rPr>
        <w:fldChar w:fldCharType="end"/>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（签字或盖章）</w:t>
      </w:r>
    </w:p>
    <w:p w14:paraId="6BFCE5EE">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default" w:ascii="宋体" w:hAnsi="宋体" w:eastAsia="宋体" w:cs="宋体"/>
          <w:bCs/>
          <w:color w:val="auto"/>
          <w:sz w:val="24"/>
          <w:highlight w:val="none"/>
          <w:u w:val="single"/>
          <w:lang w:val="en-US" w:eastAsia="zh-CN"/>
        </w:rPr>
      </w:pPr>
      <w:r>
        <w:rPr>
          <w:rFonts w:hint="eastAsia" w:ascii="宋体" w:hAnsi="宋体" w:eastAsia="宋体" w:cs="宋体"/>
          <w:bCs/>
          <w:color w:val="auto"/>
          <w:sz w:val="24"/>
          <w:highlight w:val="none"/>
        </w:rPr>
        <w:fldChar w:fldCharType="begin"/>
      </w:r>
      <w:r>
        <w:rPr>
          <w:rFonts w:hint="eastAsia" w:ascii="宋体" w:hAnsi="宋体" w:eastAsia="宋体" w:cs="宋体"/>
          <w:bCs/>
          <w:color w:val="auto"/>
          <w:sz w:val="24"/>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highlight w:val="none"/>
        </w:rPr>
        <w:fldChar w:fldCharType="separate"/>
      </w:r>
      <w:r>
        <w:rPr>
          <w:rFonts w:hint="eastAsia" w:ascii="宋体" w:hAnsi="宋体" w:eastAsia="宋体" w:cs="宋体"/>
          <w:bCs/>
          <w:color w:val="auto"/>
          <w:sz w:val="24"/>
          <w:highlight w:val="none"/>
        </w:rPr>
        <w:t>开户银行</w:t>
      </w:r>
      <w:r>
        <w:rPr>
          <w:rFonts w:hint="eastAsia" w:ascii="宋体" w:hAnsi="宋体" w:eastAsia="宋体" w:cs="宋体"/>
          <w:bCs/>
          <w:color w:val="auto"/>
          <w:sz w:val="24"/>
          <w:highlight w:val="none"/>
        </w:rPr>
        <w:fldChar w:fldCharType="end"/>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 xml:space="preserve">                  </w:t>
      </w: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rPr>
        <w:fldChar w:fldCharType="begin"/>
      </w:r>
      <w:r>
        <w:rPr>
          <w:rFonts w:hint="eastAsia" w:ascii="宋体" w:hAnsi="宋体" w:eastAsia="宋体" w:cs="宋体"/>
          <w:bCs/>
          <w:color w:val="auto"/>
          <w:sz w:val="24"/>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highlight w:val="none"/>
        </w:rPr>
        <w:fldChar w:fldCharType="separate"/>
      </w:r>
      <w:r>
        <w:rPr>
          <w:rFonts w:hint="eastAsia" w:ascii="宋体" w:hAnsi="宋体" w:eastAsia="宋体" w:cs="宋体"/>
          <w:bCs/>
          <w:color w:val="auto"/>
          <w:sz w:val="24"/>
          <w:highlight w:val="none"/>
        </w:rPr>
        <w:t>开户银行</w:t>
      </w:r>
      <w:r>
        <w:rPr>
          <w:rFonts w:hint="eastAsia" w:ascii="宋体" w:hAnsi="宋体" w:eastAsia="宋体" w:cs="宋体"/>
          <w:bCs/>
          <w:color w:val="auto"/>
          <w:sz w:val="24"/>
          <w:highlight w:val="none"/>
        </w:rPr>
        <w:fldChar w:fldCharType="end"/>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p>
    <w:p w14:paraId="03E76389">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default" w:ascii="宋体" w:hAnsi="宋体" w:eastAsia="宋体" w:cs="宋体"/>
          <w:bCs/>
          <w:color w:val="auto"/>
          <w:sz w:val="24"/>
          <w:highlight w:val="none"/>
          <w:u w:val="single"/>
          <w:lang w:val="en-US" w:eastAsia="zh-CN"/>
        </w:rPr>
      </w:pPr>
      <w:r>
        <w:rPr>
          <w:rFonts w:hint="eastAsia" w:ascii="宋体" w:hAnsi="宋体" w:eastAsia="宋体" w:cs="宋体"/>
          <w:bCs/>
          <w:color w:val="auto"/>
          <w:sz w:val="24"/>
          <w:highlight w:val="none"/>
        </w:rPr>
        <w:t>帐    号：</w:t>
      </w:r>
      <w:r>
        <w:rPr>
          <w:rFonts w:hint="eastAsia" w:ascii="宋体" w:hAnsi="宋体" w:eastAsia="宋体" w:cs="宋体"/>
          <w:bCs/>
          <w:color w:val="auto"/>
          <w:sz w:val="24"/>
          <w:highlight w:val="none"/>
          <w:u w:val="single"/>
        </w:rPr>
        <w:t xml:space="preserve">                  </w:t>
      </w:r>
      <w:r>
        <w:rPr>
          <w:rFonts w:hint="eastAsia" w:ascii="宋体" w:hAnsi="宋体" w:eastAsia="宋体" w:cs="宋体"/>
          <w:bCs/>
          <w:color w:val="auto"/>
          <w:sz w:val="24"/>
          <w:highlight w:val="none"/>
        </w:rPr>
        <w:t xml:space="preserve">  帐    号：</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p>
    <w:p w14:paraId="7595C92F">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default" w:ascii="宋体" w:hAnsi="宋体" w:eastAsia="宋体" w:cs="宋体"/>
          <w:bCs/>
          <w:color w:val="auto"/>
          <w:sz w:val="24"/>
          <w:highlight w:val="none"/>
          <w:u w:val="single"/>
          <w:lang w:val="en-US" w:eastAsia="zh-CN"/>
        </w:rPr>
      </w:pPr>
      <w:r>
        <w:rPr>
          <w:rFonts w:hint="eastAsia" w:ascii="宋体" w:hAnsi="宋体" w:eastAsia="宋体" w:cs="宋体"/>
          <w:bCs/>
          <w:color w:val="auto"/>
          <w:sz w:val="24"/>
          <w:highlight w:val="none"/>
        </w:rPr>
        <w:t>电    话：</w:t>
      </w:r>
      <w:r>
        <w:rPr>
          <w:rFonts w:hint="eastAsia" w:ascii="宋体" w:hAnsi="宋体" w:eastAsia="宋体" w:cs="宋体"/>
          <w:bCs/>
          <w:color w:val="auto"/>
          <w:sz w:val="24"/>
          <w:highlight w:val="none"/>
          <w:u w:val="single"/>
        </w:rPr>
        <w:t xml:space="preserve">                  </w:t>
      </w:r>
      <w:r>
        <w:rPr>
          <w:rFonts w:hint="eastAsia" w:ascii="宋体" w:hAnsi="宋体" w:eastAsia="宋体" w:cs="宋体"/>
          <w:bCs/>
          <w:color w:val="auto"/>
          <w:sz w:val="24"/>
          <w:highlight w:val="none"/>
        </w:rPr>
        <w:t xml:space="preserve">  电    话：</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p>
    <w:p w14:paraId="1AFDBCF4">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default" w:ascii="宋体" w:hAnsi="宋体" w:eastAsia="宋体" w:cs="宋体"/>
          <w:bCs/>
          <w:color w:val="auto"/>
          <w:sz w:val="24"/>
          <w:highlight w:val="none"/>
          <w:u w:val="single"/>
          <w:lang w:val="en-US" w:eastAsia="zh-CN"/>
        </w:rPr>
      </w:pPr>
      <w:r>
        <w:rPr>
          <w:rFonts w:hint="eastAsia" w:ascii="宋体" w:hAnsi="宋体" w:eastAsia="宋体" w:cs="宋体"/>
          <w:bCs/>
          <w:color w:val="auto"/>
          <w:sz w:val="24"/>
          <w:highlight w:val="none"/>
        </w:rPr>
        <w:t>地    址：</w:t>
      </w:r>
      <w:r>
        <w:rPr>
          <w:rFonts w:hint="eastAsia" w:ascii="宋体" w:hAnsi="宋体" w:eastAsia="宋体" w:cs="宋体"/>
          <w:bCs/>
          <w:color w:val="auto"/>
          <w:sz w:val="24"/>
          <w:highlight w:val="none"/>
          <w:u w:val="single"/>
        </w:rPr>
        <w:t xml:space="preserve">                  </w:t>
      </w:r>
      <w:r>
        <w:rPr>
          <w:rFonts w:hint="eastAsia" w:ascii="宋体" w:hAnsi="宋体" w:eastAsia="宋体" w:cs="宋体"/>
          <w:bCs/>
          <w:color w:val="auto"/>
          <w:sz w:val="24"/>
          <w:highlight w:val="none"/>
        </w:rPr>
        <w:t xml:space="preserve">  地    址：</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val="en-US" w:eastAsia="zh-CN"/>
        </w:rPr>
        <w:t xml:space="preserve">   </w:t>
      </w:r>
    </w:p>
    <w:p w14:paraId="1968F9C7">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pPr>
      <w:r>
        <w:rPr>
          <w:rFonts w:hint="eastAsia" w:ascii="宋体" w:hAnsi="宋体" w:eastAsia="宋体" w:cs="宋体"/>
          <w:bCs/>
          <w:color w:val="auto"/>
          <w:sz w:val="24"/>
          <w:highlight w:val="none"/>
        </w:rPr>
        <w:t xml:space="preserve">时   间：  年月日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时    间： 年月日</w:t>
      </w:r>
    </w:p>
    <w:sectPr>
      <w:pgSz w:w="11906" w:h="16838"/>
      <w:pgMar w:top="1327" w:right="1406" w:bottom="1327" w:left="1406"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46DCDA"/>
    <w:multiLevelType w:val="singleLevel"/>
    <w:tmpl w:val="C646DCDA"/>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A81745"/>
    <w:rsid w:val="27072BEC"/>
    <w:rsid w:val="4DBC4A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szCs w:val="20"/>
    </w:rPr>
  </w:style>
  <w:style w:type="paragraph" w:customStyle="1" w:styleId="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1828</Words>
  <Characters>1841</Characters>
  <Lines>0</Lines>
  <Paragraphs>0</Paragraphs>
  <TotalTime>0</TotalTime>
  <ScaleCrop>false</ScaleCrop>
  <LinksUpToDate>false</LinksUpToDate>
  <CharactersWithSpaces>2274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2026-01-23T06:57:37Z</dcterms:created>
  <dc:creator>888</dc:creator>
  <cp:lastModifiedBy>xuyif</cp:lastModifiedBy>
  <dcterms:modified xsi:type="dcterms:W3CDTF">2026-02-23T05:44:09Z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eyJoZGlkIjoiYzI5Zjg5NmEyNTUwODA0NzRmNmE0MTk5YmNkYWM2ZmIiLCJ1c2VySWQiOiI2NzM5ODMwMzYifQ==</vt:lpwstr>
  </property>
  <property fmtid="{D5CDD505-2E9C-101B-9397-08002B2CF9AE}" pid="4" name="ICV">
    <vt:lpwstr>ABEF466AA18348018F9449077BE44E7D_13</vt:lpwstr>
  </property>
</Properties>
</file>