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27E4F">
      <w:pPr>
        <w:tabs>
          <w:tab w:val="center" w:pos="4535"/>
          <w:tab w:val="left" w:pos="6521"/>
        </w:tabs>
        <w:autoSpaceDE w:val="0"/>
        <w:autoSpaceDN w:val="0"/>
        <w:adjustRightInd w:val="0"/>
        <w:snapToGrid w:val="0"/>
        <w:spacing w:line="360" w:lineRule="auto"/>
        <w:jc w:val="center"/>
        <w:outlineLvl w:val="2"/>
        <w:rPr>
          <w:rStyle w:val="11"/>
          <w:rFonts w:hint="eastAsia" w:ascii="仿宋_GB2312" w:hAnsi="仿宋_GB2312" w:eastAsia="仿宋_GB2312" w:cs="仿宋_GB2312"/>
          <w:b/>
          <w:bCs/>
          <w:sz w:val="44"/>
          <w:szCs w:val="44"/>
          <w:lang w:val="zh-CN" w:eastAsia="zh-CN"/>
        </w:rPr>
      </w:pPr>
      <w:r>
        <w:rPr>
          <w:rStyle w:val="11"/>
          <w:rFonts w:hint="eastAsia" w:ascii="仿宋_GB2312" w:hAnsi="仿宋_GB2312" w:eastAsia="仿宋_GB2312" w:cs="仿宋_GB2312"/>
          <w:b/>
          <w:bCs/>
          <w:sz w:val="44"/>
          <w:szCs w:val="44"/>
          <w:lang w:val="zh-CN" w:eastAsia="zh-CN"/>
        </w:rPr>
        <w:t>拟签订采购合同文本</w:t>
      </w:r>
    </w:p>
    <w:p w14:paraId="5EC301F9">
      <w:pPr>
        <w:autoSpaceDE w:val="0"/>
        <w:autoSpaceDN w:val="0"/>
        <w:adjustRightInd w:val="0"/>
        <w:snapToGrid w:val="0"/>
        <w:spacing w:line="360" w:lineRule="auto"/>
        <w:jc w:val="center"/>
        <w:rPr>
          <w:rFonts w:hint="eastAsia" w:ascii="仿宋_GB2312" w:eastAsia="仿宋_GB2312"/>
          <w:b/>
          <w:bCs w:val="0"/>
          <w:sz w:val="32"/>
          <w:szCs w:val="32"/>
          <w:highlight w:val="none"/>
          <w:lang w:val="en-US" w:eastAsia="zh-CN"/>
        </w:rPr>
      </w:pPr>
      <w:r>
        <w:rPr>
          <w:rFonts w:hint="eastAsia" w:ascii="仿宋_GB2312" w:eastAsia="仿宋_GB2312"/>
          <w:b/>
          <w:bCs w:val="0"/>
          <w:sz w:val="32"/>
          <w:szCs w:val="32"/>
          <w:highlight w:val="none"/>
          <w:lang w:val="en-US" w:eastAsia="zh-CN"/>
        </w:rPr>
        <w:t>西安高新技术产业开发区教育体育局</w:t>
      </w:r>
    </w:p>
    <w:p w14:paraId="10E08C05">
      <w:pPr>
        <w:autoSpaceDE w:val="0"/>
        <w:autoSpaceDN w:val="0"/>
        <w:adjustRightInd w:val="0"/>
        <w:snapToGrid w:val="0"/>
        <w:spacing w:line="360" w:lineRule="auto"/>
        <w:jc w:val="center"/>
        <w:rPr>
          <w:rFonts w:hint="default" w:ascii="仿宋_GB2312" w:eastAsia="仿宋_GB2312"/>
          <w:b/>
          <w:bCs w:val="0"/>
          <w:sz w:val="32"/>
          <w:szCs w:val="32"/>
          <w:highlight w:val="none"/>
          <w:lang w:val="en-US"/>
        </w:rPr>
      </w:pPr>
      <w:r>
        <w:rPr>
          <w:rFonts w:hint="eastAsia" w:ascii="仿宋_GB2312" w:eastAsia="仿宋_GB2312"/>
          <w:b/>
          <w:bCs w:val="0"/>
          <w:sz w:val="32"/>
          <w:szCs w:val="32"/>
          <w:highlight w:val="none"/>
          <w:lang w:val="en-US" w:eastAsia="zh-CN"/>
        </w:rPr>
        <w:t>2025-2026学年中小学生健康体检项目合同书</w:t>
      </w:r>
    </w:p>
    <w:p w14:paraId="05202F6F">
      <w:pPr>
        <w:autoSpaceDE w:val="0"/>
        <w:autoSpaceDN w:val="0"/>
        <w:adjustRightInd w:val="0"/>
        <w:snapToGrid w:val="0"/>
        <w:spacing w:line="360" w:lineRule="auto"/>
        <w:ind w:firstLine="200" w:firstLineChars="200"/>
        <w:rPr>
          <w:rFonts w:hint="eastAsia" w:ascii="仿宋_GB2312" w:eastAsia="仿宋_GB2312"/>
          <w:bCs/>
          <w:sz w:val="10"/>
          <w:szCs w:val="10"/>
          <w:highlight w:val="none"/>
        </w:rPr>
      </w:pPr>
      <w:bookmarkStart w:id="0" w:name="_GoBack"/>
      <w:bookmarkEnd w:id="0"/>
    </w:p>
    <w:p w14:paraId="4EBF6683">
      <w:pPr>
        <w:autoSpaceDE w:val="0"/>
        <w:autoSpaceDN w:val="0"/>
        <w:adjustRightInd w:val="0"/>
        <w:snapToGrid w:val="0"/>
        <w:spacing w:line="360" w:lineRule="auto"/>
        <w:ind w:firstLine="560" w:firstLineChars="200"/>
        <w:rPr>
          <w:rFonts w:hint="eastAsia" w:ascii="仿宋_GB2312" w:eastAsia="仿宋_GB2312"/>
          <w:bCs/>
          <w:sz w:val="28"/>
          <w:szCs w:val="28"/>
          <w:highlight w:val="none"/>
        </w:rPr>
      </w:pPr>
      <w:r>
        <w:rPr>
          <w:rFonts w:hint="eastAsia" w:ascii="仿宋_GB2312" w:eastAsia="仿宋_GB2312"/>
          <w:bCs/>
          <w:sz w:val="28"/>
          <w:szCs w:val="28"/>
          <w:highlight w:val="none"/>
        </w:rPr>
        <w:t>甲方（采购人）：西安高新技术产业开发区教育体育局</w:t>
      </w:r>
    </w:p>
    <w:p w14:paraId="040DDC00">
      <w:pPr>
        <w:autoSpaceDE w:val="0"/>
        <w:autoSpaceDN w:val="0"/>
        <w:adjustRightInd w:val="0"/>
        <w:snapToGrid w:val="0"/>
        <w:spacing w:line="360" w:lineRule="auto"/>
        <w:ind w:firstLine="560" w:firstLineChars="200"/>
        <w:rPr>
          <w:rFonts w:hint="eastAsia" w:ascii="仿宋_GB2312" w:eastAsia="仿宋_GB2312"/>
          <w:bCs/>
          <w:sz w:val="28"/>
          <w:szCs w:val="28"/>
          <w:highlight w:val="none"/>
        </w:rPr>
      </w:pPr>
      <w:r>
        <w:rPr>
          <w:rFonts w:hint="eastAsia" w:ascii="仿宋_GB2312" w:eastAsia="仿宋_GB2312"/>
          <w:bCs/>
          <w:sz w:val="28"/>
          <w:szCs w:val="28"/>
          <w:highlight w:val="none"/>
        </w:rPr>
        <w:t xml:space="preserve">乙方（中标人）： </w:t>
      </w:r>
    </w:p>
    <w:p w14:paraId="15F7B6F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val="en-US" w:eastAsia="zh-CN"/>
        </w:rPr>
        <w:t>2025-2026学年中小学生健康体检项目</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SXHC202</w:t>
      </w:r>
      <w:r>
        <w:rPr>
          <w:rFonts w:hint="eastAsia" w:ascii="仿宋_GB2312" w:hAnsi="仿宋_GB2312" w:eastAsia="仿宋_GB2312" w:cs="仿宋_GB2312"/>
          <w:bCs/>
          <w:sz w:val="28"/>
          <w:szCs w:val="28"/>
          <w:u w:val="single"/>
          <w:lang w:val="en-US" w:eastAsia="zh-CN"/>
        </w:rPr>
        <w:t>6-024</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highlight w:val="none"/>
        </w:rPr>
        <w:t>，</w:t>
      </w:r>
      <w:r>
        <w:rPr>
          <w:rFonts w:hint="eastAsia" w:ascii="仿宋_GB2312" w:hAnsi="仿宋_GB2312" w:eastAsia="仿宋_GB2312" w:cs="仿宋_GB2312"/>
          <w:bCs/>
          <w:sz w:val="28"/>
          <w:szCs w:val="28"/>
        </w:rPr>
        <w:t>由陕西华采招标有限公司组织</w:t>
      </w:r>
      <w:r>
        <w:rPr>
          <w:rFonts w:hint="eastAsia" w:ascii="仿宋_GB2312" w:hAnsi="仿宋_GB2312" w:eastAsia="仿宋_GB2312" w:cs="仿宋_GB2312"/>
          <w:bCs/>
          <w:sz w:val="28"/>
          <w:szCs w:val="28"/>
          <w:lang w:val="en-US" w:eastAsia="zh-CN"/>
        </w:rPr>
        <w:t>公开招标</w:t>
      </w:r>
      <w:r>
        <w:rPr>
          <w:rFonts w:hint="eastAsia" w:ascii="仿宋_GB2312" w:hAnsi="仿宋_GB2312" w:eastAsia="仿宋_GB2312" w:cs="仿宋_GB2312"/>
          <w:bCs/>
          <w:sz w:val="28"/>
          <w:szCs w:val="28"/>
        </w:rPr>
        <w:t>，</w:t>
      </w:r>
      <w:r>
        <w:rPr>
          <w:rFonts w:hint="eastAsia" w:ascii="仿宋_GB2312" w:eastAsia="仿宋_GB2312"/>
          <w:bCs/>
          <w:sz w:val="28"/>
          <w:szCs w:val="28"/>
          <w:highlight w:val="none"/>
          <w:u w:val="single"/>
        </w:rPr>
        <w:t>西安高新技术产业开发区教育体育局</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w:t>
      </w:r>
      <w:r>
        <w:rPr>
          <w:rFonts w:hint="eastAsia" w:ascii="仿宋_GB2312" w:hAnsi="仿宋_GB2312" w:eastAsia="仿宋_GB2312" w:cs="仿宋_GB2312"/>
          <w:bCs/>
          <w:sz w:val="28"/>
          <w:szCs w:val="28"/>
          <w:u w:val="single"/>
          <w:lang w:val="en-US" w:eastAsia="zh-CN"/>
        </w:rPr>
        <w:t xml:space="preserve">      采购包号 </w:t>
      </w:r>
      <w:r>
        <w:rPr>
          <w:rFonts w:hint="eastAsia" w:ascii="仿宋_GB2312" w:hAnsi="仿宋_GB2312" w:eastAsia="仿宋_GB2312" w:cs="仿宋_GB2312"/>
          <w:bCs/>
          <w:sz w:val="28"/>
          <w:szCs w:val="28"/>
          <w:u w:val="none"/>
          <w:lang w:val="en-US" w:eastAsia="zh-CN"/>
        </w:rPr>
        <w:t>的</w:t>
      </w:r>
      <w:r>
        <w:rPr>
          <w:rFonts w:hint="eastAsia" w:ascii="仿宋_GB2312" w:hAnsi="仿宋_GB2312" w:eastAsia="仿宋_GB2312" w:cs="仿宋_GB2312"/>
          <w:bCs/>
          <w:sz w:val="28"/>
          <w:szCs w:val="28"/>
          <w:lang w:val="en-US" w:eastAsia="zh-CN"/>
        </w:rPr>
        <w:t>中标人</w:t>
      </w:r>
      <w:r>
        <w:rPr>
          <w:rFonts w:hint="eastAsia" w:ascii="仿宋_GB2312" w:hAnsi="仿宋_GB2312" w:eastAsia="仿宋_GB2312" w:cs="仿宋_GB2312"/>
          <w:bCs/>
          <w:sz w:val="28"/>
          <w:szCs w:val="28"/>
        </w:rPr>
        <w:t>。</w:t>
      </w:r>
    </w:p>
    <w:p w14:paraId="7810916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依据《中华人民共和国民法典》和《中华人民共和国政府采购法》之规定，经双方</w:t>
      </w:r>
      <w:r>
        <w:rPr>
          <w:rFonts w:hint="eastAsia" w:ascii="仿宋_GB2312" w:hAnsi="仿宋" w:eastAsia="仿宋_GB2312"/>
          <w:bCs/>
          <w:sz w:val="28"/>
          <w:szCs w:val="28"/>
          <w:highlight w:val="none"/>
          <w:lang w:val="en-US" w:eastAsia="zh-CN"/>
        </w:rPr>
        <w:t>协商按下述条款和条件签署</w:t>
      </w:r>
      <w:r>
        <w:rPr>
          <w:rFonts w:hint="eastAsia" w:ascii="仿宋_GB2312" w:hAnsi="仿宋" w:eastAsia="仿宋_GB2312"/>
          <w:bCs/>
          <w:sz w:val="28"/>
          <w:szCs w:val="28"/>
          <w:highlight w:val="none"/>
        </w:rPr>
        <w:t>本合同。</w:t>
      </w:r>
    </w:p>
    <w:p w14:paraId="677CD6D2">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default" w:ascii="仿宋_GB2312" w:hAnsi="仿宋_GB2312" w:eastAsia="仿宋_GB2312" w:cs="仿宋_GB2312"/>
          <w:b/>
          <w:bCs/>
          <w:color w:val="auto"/>
          <w:sz w:val="28"/>
          <w:szCs w:val="28"/>
          <w:lang w:val="en-US" w:eastAsia="zh-CN"/>
        </w:rPr>
      </w:pPr>
      <w:r>
        <w:rPr>
          <w:rFonts w:hint="eastAsia" w:ascii="仿宋_GB2312" w:hAnsi="仿宋" w:eastAsia="仿宋_GB2312"/>
          <w:b/>
          <w:bCs/>
          <w:sz w:val="28"/>
          <w:szCs w:val="28"/>
        </w:rPr>
        <w:t>一、合同价款</w:t>
      </w:r>
    </w:p>
    <w:p w14:paraId="72F3A0E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（一）固定综合单价。</w:t>
      </w:r>
    </w:p>
    <w:p w14:paraId="7C21154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1、小学生为人民币(大写)</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元整（¥</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元）；</w:t>
      </w:r>
    </w:p>
    <w:p w14:paraId="1AE42B4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2、初中生、高中其他年级为人民币(大写)</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元整（¥</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元）；</w:t>
      </w:r>
    </w:p>
    <w:p w14:paraId="4F18DFA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3、高一生为人民币(大写)</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元整（¥</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元）；</w:t>
      </w:r>
    </w:p>
    <w:p w14:paraId="66FA53F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合同总价款按照经甲方确认实际参加体检的人数乘以中标综合 单价进行结算。</w:t>
      </w:r>
    </w:p>
    <w:p w14:paraId="302BA3B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kern w:val="2"/>
          <w:sz w:val="28"/>
          <w:szCs w:val="28"/>
          <w:lang w:val="en-US" w:eastAsia="zh-CN" w:bidi="ar-SA"/>
        </w:rPr>
        <w:t>（二）</w:t>
      </w:r>
      <w:r>
        <w:rPr>
          <w:rFonts w:hint="eastAsia" w:ascii="仿宋_GB2312" w:hAnsi="仿宋_GB2312" w:eastAsia="仿宋_GB2312" w:cs="仿宋_GB2312"/>
          <w:color w:val="auto"/>
          <w:sz w:val="28"/>
          <w:szCs w:val="28"/>
          <w:lang w:val="en-US" w:eastAsia="zh-CN"/>
        </w:rPr>
        <w:t>合同综合单价包括但不限于体检费、报告费、接送费、餐费、税金等一切相关费用。</w:t>
      </w:r>
    </w:p>
    <w:p w14:paraId="0EAF4E4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kern w:val="2"/>
          <w:sz w:val="28"/>
          <w:szCs w:val="28"/>
          <w:lang w:val="en-US" w:eastAsia="zh-CN" w:bidi="ar-SA"/>
        </w:rPr>
        <w:t>（三）</w:t>
      </w:r>
      <w:r>
        <w:rPr>
          <w:rFonts w:hint="eastAsia" w:ascii="仿宋_GB2312" w:hAnsi="仿宋_GB2312" w:eastAsia="仿宋_GB2312" w:cs="仿宋_GB2312"/>
          <w:color w:val="auto"/>
          <w:sz w:val="28"/>
          <w:szCs w:val="28"/>
          <w:lang w:val="en-US" w:eastAsia="zh-CN"/>
        </w:rPr>
        <w:t>合同综合单价固定,不受市场价格变化因素的影响。</w:t>
      </w:r>
    </w:p>
    <w:p w14:paraId="41FAF35F">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二、款项结算</w:t>
      </w:r>
    </w:p>
    <w:p w14:paraId="2886943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（一）付款方式：</w:t>
      </w:r>
    </w:p>
    <w:p w14:paraId="1C940F0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由学校负责结算，合同签订后，乙方在接受付款前，开具等额发票给甲方学校，并与甲方学校完成验收。</w:t>
      </w:r>
    </w:p>
    <w:p w14:paraId="6B5B693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（二）结算方式：银行转账。</w:t>
      </w:r>
    </w:p>
    <w:p w14:paraId="172BB2D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乙方开户名称：</w:t>
      </w:r>
    </w:p>
    <w:p w14:paraId="75B5C1E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银行账号：</w:t>
      </w:r>
    </w:p>
    <w:p w14:paraId="3968DE5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开户行：</w:t>
      </w:r>
    </w:p>
    <w:p w14:paraId="434E74B8">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三、服务地点与服务期限</w:t>
      </w:r>
    </w:p>
    <w:p w14:paraId="06B8320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（一）服务地点：</w:t>
      </w:r>
    </w:p>
    <w:p w14:paraId="7CB027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采购包1：丈八</w:t>
      </w:r>
      <w:r>
        <w:rPr>
          <w:rFonts w:hint="default"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lang w:val="en-US" w:eastAsia="zh-CN"/>
        </w:rPr>
        <w:t>灵沼</w:t>
      </w:r>
      <w:r>
        <w:rPr>
          <w:rFonts w:hint="default"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lang w:val="en-US" w:eastAsia="zh-CN"/>
        </w:rPr>
        <w:t>庞光</w:t>
      </w:r>
      <w:r>
        <w:rPr>
          <w:rFonts w:hint="default"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lang w:val="en-US" w:eastAsia="zh-CN"/>
        </w:rPr>
        <w:t>东大、草堂</w:t>
      </w:r>
      <w:r>
        <w:rPr>
          <w:rFonts w:hint="default" w:ascii="仿宋_GB2312" w:hAnsi="仿宋_GB2312" w:eastAsia="仿宋_GB2312" w:cs="仿宋_GB2312"/>
          <w:color w:val="auto"/>
          <w:sz w:val="28"/>
          <w:szCs w:val="28"/>
          <w:highlight w:val="none"/>
          <w:lang w:val="en-US" w:eastAsia="zh-CN"/>
        </w:rPr>
        <w:t>辖区内</w:t>
      </w:r>
      <w:r>
        <w:rPr>
          <w:rFonts w:hint="eastAsia" w:ascii="仿宋_GB2312" w:hAnsi="仿宋_GB2312" w:eastAsia="仿宋_GB2312" w:cs="仿宋_GB2312"/>
          <w:color w:val="auto"/>
          <w:sz w:val="28"/>
          <w:szCs w:val="28"/>
          <w:highlight w:val="none"/>
          <w:lang w:val="en-US" w:eastAsia="zh-CN"/>
        </w:rPr>
        <w:t>学校，具体以甲方安排为准。</w:t>
      </w:r>
    </w:p>
    <w:p w14:paraId="2E5E80B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采购包2：鱼化</w:t>
      </w:r>
      <w:r>
        <w:rPr>
          <w:rFonts w:hint="default"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lang w:val="en-US" w:eastAsia="zh-CN"/>
        </w:rPr>
        <w:t>细柳、兴隆、五星、</w:t>
      </w:r>
      <w:r>
        <w:rPr>
          <w:rFonts w:hint="default" w:ascii="仿宋_GB2312" w:hAnsi="仿宋_GB2312" w:eastAsia="仿宋_GB2312" w:cs="仿宋_GB2312"/>
          <w:color w:val="auto"/>
          <w:sz w:val="28"/>
          <w:szCs w:val="28"/>
          <w:highlight w:val="none"/>
          <w:lang w:val="en-US" w:eastAsia="zh-CN"/>
        </w:rPr>
        <w:t>秦渡、集贤园辖区内</w:t>
      </w:r>
      <w:r>
        <w:rPr>
          <w:rFonts w:hint="eastAsia" w:ascii="仿宋_GB2312" w:hAnsi="仿宋_GB2312" w:eastAsia="仿宋_GB2312" w:cs="仿宋_GB2312"/>
          <w:color w:val="auto"/>
          <w:sz w:val="28"/>
          <w:szCs w:val="28"/>
          <w:highlight w:val="none"/>
          <w:lang w:val="en-US" w:eastAsia="zh-CN"/>
        </w:rPr>
        <w:t>学校，具体以甲方安排为准。</w:t>
      </w:r>
    </w:p>
    <w:p w14:paraId="4009A04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（二）服务期限：自合同签订之日起至2026年8月30日（具体以合同为准）。</w:t>
      </w:r>
    </w:p>
    <w:p w14:paraId="4D90A311">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四、技术服务</w:t>
      </w:r>
    </w:p>
    <w:p w14:paraId="04D98B0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zh-CN" w:eastAsia="zh-CN"/>
        </w:rPr>
        <w:t>（一）</w:t>
      </w:r>
      <w:r>
        <w:rPr>
          <w:rFonts w:hint="eastAsia" w:ascii="仿宋_GB2312" w:hAnsi="仿宋_GB2312" w:eastAsia="仿宋_GB2312" w:cs="仿宋_GB2312"/>
          <w:color w:val="auto"/>
          <w:sz w:val="28"/>
          <w:szCs w:val="28"/>
          <w:lang w:val="en-US" w:eastAsia="zh-CN"/>
        </w:rPr>
        <w:t>技术资料</w:t>
      </w:r>
    </w:p>
    <w:p w14:paraId="2B10049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1、甲方提供学校体检工作联络人信息，由乙方与学校协商确定好时间后，乙方以表格的形式报送给甲方。甲方下发体检通知，乙方应按照体检时间和要求安排组织实施体检工作。</w:t>
      </w:r>
    </w:p>
    <w:p w14:paraId="0A4ACDC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2、乙方按照《中小学生健康体检管理办法》的要求确保本次体检工作的安全和质量。</w:t>
      </w:r>
    </w:p>
    <w:p w14:paraId="101B2F2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3、乙方要精心组织,细化工作方案,认真落实,成立体检工作领导小组，确定专人负责体检工作的联络、协调、安全等工作。</w:t>
      </w:r>
    </w:p>
    <w:p w14:paraId="5462803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4、乙方对参加此次体检工作的人员进行培训方可上岗。</w:t>
      </w:r>
    </w:p>
    <w:p w14:paraId="4B80520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5、乙方在学校内为学生做体检，和学校共同协商组织实施体检，如学校课程安排和体检机构体检安排有冲突，乙方按照学校要求的时间完成体检工作。</w:t>
      </w:r>
    </w:p>
    <w:p w14:paraId="085F2AB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采购包1乙方负责全区学校（两个采购包）整体体检信息的反馈汇总及数据分析（包括:向学生家长、学校、高新区教育体育局反馈学生个体建康体检结果与学生群体健康评价结果电子版及纸质版，提出健康指导意见），确保工作的质量，按时完成。采购包2乙方负责向采购包1乙方提供真实有效的体检数据。</w:t>
      </w:r>
    </w:p>
    <w:p w14:paraId="6529D18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zh-CN" w:eastAsia="zh-CN"/>
        </w:rPr>
        <w:t>（</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lang w:val="zh-CN" w:eastAsia="zh-CN"/>
        </w:rPr>
        <w:t>）</w:t>
      </w:r>
      <w:r>
        <w:rPr>
          <w:rFonts w:hint="eastAsia" w:ascii="仿宋_GB2312" w:hAnsi="仿宋_GB2312" w:eastAsia="仿宋_GB2312" w:cs="仿宋_GB2312"/>
          <w:color w:val="auto"/>
          <w:sz w:val="28"/>
          <w:szCs w:val="28"/>
          <w:lang w:val="en-US" w:eastAsia="zh-CN"/>
        </w:rPr>
        <w:t>健康体检项目</w:t>
      </w:r>
    </w:p>
    <w:p w14:paraId="72BDDD0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1、询问既往疾病史。</w:t>
      </w:r>
    </w:p>
    <w:p w14:paraId="1171F7B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2、体检项目</w:t>
      </w:r>
    </w:p>
    <w:p w14:paraId="3BB6ED7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（1）形体指标检查：身高、体重、腰围、臀围；</w:t>
      </w:r>
    </w:p>
    <w:p w14:paraId="2549BFE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（2）内科常规检查：心、肺、肝、脾，肺活量、脉搏、血压；</w:t>
      </w:r>
    </w:p>
    <w:p w14:paraId="3A5A1BF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（3）外科检查：头部、颈部、胸部、脊柱、四肢、皮肤、淋巴结；</w:t>
      </w:r>
    </w:p>
    <w:p w14:paraId="773C29D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（4）耳鼻咽喉检查：听力、外耳道与鼓膜、外鼻、嗅觉、扁桃体；</w:t>
      </w:r>
    </w:p>
    <w:p w14:paraId="6BBCFC7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（5）眼科检查：眼外观、色觉、沙眼、结膜炎、远视力、屈光度（视力需要电脑验光）；</w:t>
      </w:r>
    </w:p>
    <w:p w14:paraId="1287031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（6）口腔科检查：牙齿、牙周；</w:t>
      </w:r>
    </w:p>
    <w:p w14:paraId="281EF44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（7）实验室检查：</w:t>
      </w:r>
    </w:p>
    <w:p w14:paraId="22D13CC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①血常规：红细胞、白细胞、血小板（全体学生）；</w:t>
      </w:r>
    </w:p>
    <w:p w14:paraId="73EFD44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②肝功能：丙氨酸氨基转移酶、胆红素（高中新生）。</w:t>
      </w:r>
    </w:p>
    <w:p w14:paraId="1543670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注：视力检测，根据国家卫生健康委2021年10月发布的《儿童青少年近视防控适宜技术指南 》（更新版）规定，视力检查应采用GB11533–2011标准对数视力表，屈光检查采用的电脑验光仪应符合《ISO10342–2010眼科仪器：验光仪》规定。</w:t>
      </w:r>
    </w:p>
    <w:p w14:paraId="33A5247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（三）健康体检报告单的反馈时限</w:t>
      </w:r>
    </w:p>
    <w:p w14:paraId="7087EDA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1、个体报告单应当于体检结束后2周内反馈；</w:t>
      </w:r>
    </w:p>
    <w:p w14:paraId="694AD30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2、学校汇总报告单应当于体检结束后1个月内反馈；</w:t>
      </w:r>
    </w:p>
    <w:p w14:paraId="18E0344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3、区域学校汇总报告单应当于体检结束后2个月内反馈。</w:t>
      </w:r>
    </w:p>
    <w:p w14:paraId="52331B8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（四）服务承诺</w:t>
      </w:r>
    </w:p>
    <w:p w14:paraId="09CB100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乙方应遵守投标文件中明确的服务承诺。</w:t>
      </w:r>
    </w:p>
    <w:p w14:paraId="6646265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（五）乙方的体检工作方案报甲方备案。</w:t>
      </w:r>
    </w:p>
    <w:p w14:paraId="0190F79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五、服务要求</w:t>
      </w:r>
    </w:p>
    <w:p w14:paraId="3100E63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（一）乙方不得以任何形式将项目擅自转让、分包给其它单位或个人。</w:t>
      </w:r>
    </w:p>
    <w:p w14:paraId="5099F0F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（二）乙方的投标文件和服务承诺等内容将作为合同的组成部分。</w:t>
      </w:r>
    </w:p>
    <w:p w14:paraId="1672EC3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（三）乙方人员的所有安全由乙方自己承担，乙方对体检所造成的安全事故承担所有责任。 </w:t>
      </w:r>
    </w:p>
    <w:p w14:paraId="2E2627D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（四）乙方不得违规开展验配角膜塑形镜,不得与其他机构违规合作开展学生体检,不得非法收集学生信息和从事其他非法经营。  </w:t>
      </w:r>
    </w:p>
    <w:p w14:paraId="66503CD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（五）乙方不得违规开展验配角膜塑形镜，不得利用验血等方式收集学生个人基因片段用于医学实验，不得与其他机构违规合作开展学生体检，不得非法收集学生信息和从事其他非法经营。</w:t>
      </w:r>
    </w:p>
    <w:p w14:paraId="2180B4C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（六）乙方须确保入校体检人员身体健康，服从学校管理，组织体检确保安全第一，组织有序，不聚集。</w:t>
      </w:r>
    </w:p>
    <w:p w14:paraId="141FAC26">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六、保密要求</w:t>
      </w:r>
    </w:p>
    <w:p w14:paraId="5410F90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协议签订及履行期间,甲方以及本合同第三条约定的学校以口头、书面、电子等方式向乙方披露的,以及乙方履行本协议过程中所形成的和所接触的数据和技术信息属于“工作秘密”。“工作秘密”包含但不限于学生基本信息、体检数据、学校基本信息等。本协议提及的“工作秘密”，既包括甲方及其关联单位所有或持有的信息也包括虽属于第三方所有或持有但甲方负有保密义务的信息。在协议期限内及协议终止后,乙方始终一直具有保密义务。乙方必须做到：</w:t>
      </w:r>
    </w:p>
    <w:p w14:paraId="50B3795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（一）乙方不得为本协议约定之外的其他任何目的使用“工作秘密”,不得利用所掌握的“工作秘密”牟取利益。</w:t>
      </w:r>
    </w:p>
    <w:p w14:paraId="415F0E0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（二）乙方必须对“工作秘密”采取保密措施,不得在任何时候以任何方式向本协议约定之外的第三方泄露。</w:t>
      </w:r>
    </w:p>
    <w:p w14:paraId="1CEE85F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（三）除为履行协议而必须知悉上述“工作秘密”的乙方雇员之外,乙方不得向任何其他人披露“工作秘密”若有违反按照本合同第六条承担违约责任。</w:t>
      </w:r>
    </w:p>
    <w:p w14:paraId="7BF7FDA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（四）本合同本身是保密资料，应予以保密。</w:t>
      </w:r>
    </w:p>
    <w:p w14:paraId="3CFCD85E">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七、违约责任</w:t>
      </w:r>
    </w:p>
    <w:p w14:paraId="22F9A62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（一）按《中华人民共和国民法典》中的相关条款执行。</w:t>
      </w:r>
    </w:p>
    <w:p w14:paraId="253739D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（二）乙方未按合同要求提供服务或服务质量不能满足本次招标要求，甲方有权单方解除合同和对乙方违约行为进行追究，同时按政府采购法的有关规定进行相应的处罚且禁止进入政府采购名单。</w:t>
      </w:r>
    </w:p>
    <w:p w14:paraId="05751D6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color w:val="auto"/>
          <w:sz w:val="28"/>
          <w:szCs w:val="28"/>
          <w:lang w:val="en-US" w:eastAsia="zh-CN"/>
        </w:rPr>
        <w:t>（三）由于乙方原因没有按期完成体检工作，自延迟之日起，按未完成部分体检费总额的1%每日向甲方支付违约金，直至体检全部完成。如延迟超过30日的，甲方有权单方解除合同，甲方解除合同的，乙方应支付甲方合同体检费用总额20%的违约金，造成甲方其他损失的，应承担赔偿责任。乙方在体检服务过程中随意减少体检项目，甲方按照比例扣除未检项目的费用。同时乙方需向甲方承担合同体检费用总额20%的违约金。</w:t>
      </w:r>
    </w:p>
    <w:p w14:paraId="0FA46A30">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八、合同争议解决的方式</w:t>
      </w:r>
    </w:p>
    <w:p w14:paraId="0F7B3D8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本合同在履行过程中发生的争议，由甲、乙双方当事人协商解决，协商不成的按下列第</w:t>
      </w:r>
      <w:r>
        <w:rPr>
          <w:rFonts w:hint="eastAsia" w:ascii="仿宋_GB2312" w:hAnsi="仿宋_GB2312" w:eastAsia="仿宋_GB2312" w:cs="仿宋_GB2312"/>
          <w:color w:val="auto"/>
          <w:sz w:val="28"/>
          <w:szCs w:val="28"/>
          <w:u w:val="single"/>
          <w:lang w:val="en-US" w:eastAsia="zh-CN"/>
        </w:rPr>
        <w:t xml:space="preserve"> （二） </w:t>
      </w:r>
      <w:r>
        <w:rPr>
          <w:rFonts w:hint="eastAsia" w:ascii="仿宋_GB2312" w:hAnsi="仿宋_GB2312" w:eastAsia="仿宋_GB2312" w:cs="仿宋_GB2312"/>
          <w:color w:val="auto"/>
          <w:sz w:val="28"/>
          <w:szCs w:val="28"/>
          <w:lang w:val="en-US" w:eastAsia="zh-CN"/>
        </w:rPr>
        <w:t>种方式解决：</w:t>
      </w:r>
    </w:p>
    <w:p w14:paraId="3C03BF6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kern w:val="2"/>
          <w:sz w:val="28"/>
          <w:szCs w:val="28"/>
          <w:lang w:val="en-US" w:eastAsia="zh-CN" w:bidi="ar-SA"/>
        </w:rPr>
        <w:t>（一）</w:t>
      </w:r>
      <w:r>
        <w:rPr>
          <w:rFonts w:hint="eastAsia" w:ascii="仿宋_GB2312" w:hAnsi="仿宋_GB2312" w:eastAsia="仿宋_GB2312" w:cs="仿宋_GB2312"/>
          <w:b w:val="0"/>
          <w:bCs w:val="0"/>
          <w:color w:val="auto"/>
          <w:sz w:val="28"/>
          <w:szCs w:val="28"/>
          <w:lang w:val="en-US" w:eastAsia="zh-CN"/>
        </w:rPr>
        <w:t>提交西安仲裁委员会仲裁；</w:t>
      </w:r>
    </w:p>
    <w:p w14:paraId="387B697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kern w:val="2"/>
          <w:sz w:val="28"/>
          <w:szCs w:val="28"/>
          <w:lang w:val="en-US" w:eastAsia="zh-CN" w:bidi="ar-SA"/>
        </w:rPr>
        <w:t>（二）</w:t>
      </w:r>
      <w:r>
        <w:rPr>
          <w:rFonts w:hint="eastAsia" w:ascii="仿宋_GB2312" w:hAnsi="仿宋_GB2312" w:eastAsia="仿宋_GB2312" w:cs="仿宋_GB2312"/>
          <w:b w:val="0"/>
          <w:bCs w:val="0"/>
          <w:color w:val="auto"/>
          <w:sz w:val="28"/>
          <w:szCs w:val="28"/>
          <w:lang w:val="en-US" w:eastAsia="zh-CN"/>
        </w:rPr>
        <w:t>依法向甲方所在地人民法院起诉。</w:t>
      </w:r>
    </w:p>
    <w:p w14:paraId="2698A598">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 xml:space="preserve">九、不可抗力 </w:t>
      </w:r>
    </w:p>
    <w:p w14:paraId="04732B6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详细技术说明及其他有关合同项目的特定信息由合同附件予以说明，下列文件构成本合同的组成部分，应该认为是一个整体，彼此相互解释，相互补充。组成合同的多个文件的优先支配地位的次序如下：</w:t>
      </w:r>
    </w:p>
    <w:p w14:paraId="7F0D91A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kern w:val="2"/>
          <w:sz w:val="28"/>
          <w:szCs w:val="28"/>
          <w:lang w:val="en-US" w:eastAsia="zh-CN" w:bidi="ar-SA"/>
        </w:rPr>
        <w:t>（一）</w:t>
      </w:r>
      <w:r>
        <w:rPr>
          <w:rFonts w:hint="eastAsia" w:ascii="仿宋_GB2312" w:hAnsi="仿宋_GB2312" w:eastAsia="仿宋_GB2312" w:cs="仿宋_GB2312"/>
          <w:color w:val="auto"/>
          <w:sz w:val="28"/>
          <w:szCs w:val="28"/>
          <w:lang w:val="en-US" w:eastAsia="zh-CN"/>
        </w:rPr>
        <w:t>本合同书；</w:t>
      </w:r>
    </w:p>
    <w:p w14:paraId="0B9D88F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kern w:val="2"/>
          <w:sz w:val="28"/>
          <w:szCs w:val="28"/>
          <w:lang w:val="en-US" w:eastAsia="zh-CN" w:bidi="ar-SA"/>
        </w:rPr>
        <w:t>（二）</w:t>
      </w:r>
      <w:r>
        <w:rPr>
          <w:rFonts w:hint="eastAsia" w:ascii="仿宋_GB2312" w:hAnsi="仿宋_GB2312" w:eastAsia="仿宋_GB2312" w:cs="仿宋_GB2312"/>
          <w:color w:val="auto"/>
          <w:sz w:val="28"/>
          <w:szCs w:val="28"/>
          <w:lang w:val="en-US" w:eastAsia="zh-CN"/>
        </w:rPr>
        <w:t>中标通知书；</w:t>
      </w:r>
    </w:p>
    <w:p w14:paraId="7CE0636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（三）协议；</w:t>
      </w:r>
    </w:p>
    <w:p w14:paraId="0456C6C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（四）招标文件（澄清文件）；</w:t>
      </w:r>
    </w:p>
    <w:p w14:paraId="4E0267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（五）投标文件。</w:t>
      </w:r>
    </w:p>
    <w:p w14:paraId="5CEAF03E">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十、合同生效</w:t>
      </w:r>
    </w:p>
    <w:p w14:paraId="1CD48DA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（一）本合同须经甲、乙双方的法定代表人（授权代理人）在合同书上签字并加盖本单位公章、合同章后正式生效。</w:t>
      </w:r>
    </w:p>
    <w:p w14:paraId="081C0B6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（二）合同生效后，甲、乙双方须严格执行本合同条款的规定,全面履行合同，违者按《中华人民共和国民法典》的有关规定及本合同的约定承担相应责任。</w:t>
      </w:r>
    </w:p>
    <w:p w14:paraId="5389040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（四）本合同一式</w:t>
      </w:r>
      <w:r>
        <w:rPr>
          <w:rFonts w:hint="eastAsia" w:ascii="仿宋_GB2312" w:hAnsi="仿宋_GB2312" w:eastAsia="仿宋_GB2312" w:cs="仿宋_GB2312"/>
          <w:color w:val="auto"/>
          <w:sz w:val="28"/>
          <w:szCs w:val="28"/>
          <w:u w:val="single"/>
          <w:lang w:val="en-US" w:eastAsia="zh-CN"/>
        </w:rPr>
        <w:t xml:space="preserve"> 五 </w:t>
      </w:r>
      <w:r>
        <w:rPr>
          <w:rFonts w:hint="eastAsia" w:ascii="仿宋_GB2312" w:hAnsi="仿宋_GB2312" w:eastAsia="仿宋_GB2312" w:cs="仿宋_GB2312"/>
          <w:color w:val="auto"/>
          <w:sz w:val="28"/>
          <w:szCs w:val="28"/>
          <w:lang w:val="en-US" w:eastAsia="zh-CN"/>
        </w:rPr>
        <w:t>份,甲方执</w:t>
      </w:r>
      <w:r>
        <w:rPr>
          <w:rFonts w:hint="eastAsia" w:ascii="仿宋_GB2312" w:hAnsi="仿宋_GB2312" w:eastAsia="仿宋_GB2312" w:cs="仿宋_GB2312"/>
          <w:color w:val="auto"/>
          <w:sz w:val="28"/>
          <w:szCs w:val="28"/>
          <w:u w:val="single"/>
          <w:lang w:val="en-US" w:eastAsia="zh-CN"/>
        </w:rPr>
        <w:t xml:space="preserve"> 三 </w:t>
      </w:r>
      <w:r>
        <w:rPr>
          <w:rFonts w:hint="eastAsia" w:ascii="仿宋_GB2312" w:hAnsi="仿宋_GB2312" w:eastAsia="仿宋_GB2312" w:cs="仿宋_GB2312"/>
          <w:color w:val="auto"/>
          <w:sz w:val="28"/>
          <w:szCs w:val="28"/>
          <w:lang w:val="en-US" w:eastAsia="zh-CN"/>
        </w:rPr>
        <w:t>份,乙方执</w:t>
      </w:r>
      <w:r>
        <w:rPr>
          <w:rFonts w:hint="eastAsia" w:ascii="仿宋_GB2312" w:hAnsi="仿宋_GB2312" w:eastAsia="仿宋_GB2312" w:cs="仿宋_GB2312"/>
          <w:color w:val="auto"/>
          <w:sz w:val="28"/>
          <w:szCs w:val="28"/>
          <w:u w:val="single"/>
          <w:lang w:val="en-US" w:eastAsia="zh-CN"/>
        </w:rPr>
        <w:t xml:space="preserve"> 一 </w:t>
      </w:r>
      <w:r>
        <w:rPr>
          <w:rFonts w:hint="eastAsia" w:ascii="仿宋_GB2312" w:hAnsi="仿宋_GB2312" w:eastAsia="仿宋_GB2312" w:cs="仿宋_GB2312"/>
          <w:color w:val="auto"/>
          <w:sz w:val="28"/>
          <w:szCs w:val="28"/>
          <w:lang w:val="en-US" w:eastAsia="zh-CN"/>
        </w:rPr>
        <w:t>份, 高新区财政局备案</w:t>
      </w:r>
      <w:r>
        <w:rPr>
          <w:rFonts w:hint="eastAsia" w:ascii="仿宋_GB2312" w:hAnsi="仿宋_GB2312" w:eastAsia="仿宋_GB2312" w:cs="仿宋_GB2312"/>
          <w:color w:val="auto"/>
          <w:sz w:val="28"/>
          <w:szCs w:val="28"/>
          <w:u w:val="single"/>
          <w:lang w:val="en-US" w:eastAsia="zh-CN"/>
        </w:rPr>
        <w:t xml:space="preserve"> 一 </w:t>
      </w:r>
      <w:r>
        <w:rPr>
          <w:rFonts w:hint="eastAsia" w:ascii="仿宋_GB2312" w:hAnsi="仿宋_GB2312" w:eastAsia="仿宋_GB2312" w:cs="仿宋_GB2312"/>
          <w:color w:val="auto"/>
          <w:sz w:val="28"/>
          <w:szCs w:val="28"/>
          <w:lang w:val="en-US" w:eastAsia="zh-CN"/>
        </w:rPr>
        <w:t>份，均具同等法律效力。</w:t>
      </w:r>
    </w:p>
    <w:p w14:paraId="22FEA74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五</w:t>
      </w:r>
      <w:r>
        <w:rPr>
          <w:rFonts w:hint="eastAsia" w:ascii="仿宋_GB2312" w:hAnsi="仿宋_GB2312" w:eastAsia="仿宋_GB2312" w:cs="仿宋_GB2312"/>
          <w:color w:val="auto"/>
          <w:sz w:val="28"/>
          <w:szCs w:val="28"/>
        </w:rPr>
        <w:t>）本合同如有未尽事宜</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甲、乙双方协商解决</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形成</w:t>
      </w:r>
      <w:r>
        <w:rPr>
          <w:rFonts w:hint="eastAsia" w:ascii="仿宋_GB2312" w:hAnsi="仿宋_GB2312" w:eastAsia="仿宋_GB2312" w:cs="仿宋_GB2312"/>
          <w:color w:val="auto"/>
          <w:sz w:val="28"/>
          <w:szCs w:val="28"/>
          <w:lang w:val="en-US" w:eastAsia="zh-CN"/>
        </w:rPr>
        <w:t>书面的补充协议</w:t>
      </w:r>
      <w:r>
        <w:rPr>
          <w:rFonts w:hint="eastAsia" w:ascii="仿宋_GB2312" w:hAnsi="仿宋_GB2312" w:eastAsia="仿宋_GB2312" w:cs="仿宋_GB2312"/>
          <w:color w:val="auto"/>
          <w:sz w:val="28"/>
          <w:szCs w:val="28"/>
        </w:rPr>
        <w:t>。</w:t>
      </w:r>
    </w:p>
    <w:p w14:paraId="0EA0412B">
      <w:pPr>
        <w:pStyle w:val="2"/>
        <w:rPr>
          <w:rFonts w:hint="eastAsia" w:ascii="仿宋_GB2312" w:hAnsi="仿宋_GB2312" w:eastAsia="仿宋_GB2312" w:cs="仿宋_GB2312"/>
          <w:color w:val="auto"/>
          <w:sz w:val="28"/>
          <w:szCs w:val="28"/>
        </w:rPr>
      </w:pPr>
    </w:p>
    <w:p w14:paraId="1754A4C6">
      <w:pPr>
        <w:rPr>
          <w:rFonts w:hint="eastAsia" w:ascii="仿宋_GB2312" w:hAnsi="仿宋_GB2312" w:eastAsia="仿宋_GB2312" w:cs="仿宋_GB2312"/>
          <w:color w:val="auto"/>
          <w:sz w:val="28"/>
          <w:szCs w:val="28"/>
        </w:rPr>
      </w:pPr>
    </w:p>
    <w:p w14:paraId="2D94AF78">
      <w:pPr>
        <w:pStyle w:val="2"/>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（以下无正文）</w:t>
      </w:r>
    </w:p>
    <w:p w14:paraId="0E9508B5">
      <w:pPr>
        <w:pStyle w:val="2"/>
        <w:rPr>
          <w:rFonts w:hint="eastAsia" w:ascii="仿宋_GB2312" w:hAnsi="仿宋_GB2312" w:eastAsia="仿宋_GB2312" w:cs="仿宋_GB2312"/>
          <w:color w:val="auto"/>
          <w:sz w:val="28"/>
          <w:szCs w:val="28"/>
        </w:rPr>
      </w:pPr>
    </w:p>
    <w:p w14:paraId="581C369A">
      <w:pPr>
        <w:rPr>
          <w:rFonts w:hint="eastAsia"/>
        </w:rPr>
      </w:pPr>
    </w:p>
    <w:p w14:paraId="2D0494C8">
      <w:pPr>
        <w:keepNext w:val="0"/>
        <w:keepLines w:val="0"/>
        <w:pageBreakBefore w:val="0"/>
        <w:widowControl w:val="0"/>
        <w:kinsoku/>
        <w:wordWrap/>
        <w:overflowPunct/>
        <w:topLinePunct w:val="0"/>
        <w:autoSpaceDE/>
        <w:autoSpaceDN/>
        <w:bidi w:val="0"/>
        <w:adjustRightInd w:val="0"/>
        <w:snapToGrid w:val="0"/>
        <w:spacing w:line="360" w:lineRule="auto"/>
        <w:ind w:firstLine="320" w:firstLineChars="200"/>
        <w:textAlignment w:val="auto"/>
        <w:rPr>
          <w:rFonts w:hint="eastAsia" w:ascii="仿宋_GB2312" w:hAnsi="仿宋_GB2312" w:eastAsia="仿宋_GB2312" w:cs="仿宋_GB2312"/>
          <w:color w:val="auto"/>
          <w:sz w:val="16"/>
          <w:szCs w:val="16"/>
          <w:lang w:val="en-US" w:eastAsia="zh-CN"/>
        </w:rPr>
      </w:pPr>
    </w:p>
    <w:tbl>
      <w:tblPr>
        <w:tblStyle w:val="6"/>
        <w:tblW w:w="0" w:type="auto"/>
        <w:jc w:val="center"/>
        <w:tblLayout w:type="fixed"/>
        <w:tblCellMar>
          <w:top w:w="0" w:type="dxa"/>
          <w:left w:w="108" w:type="dxa"/>
          <w:bottom w:w="0" w:type="dxa"/>
          <w:right w:w="108" w:type="dxa"/>
        </w:tblCellMar>
      </w:tblPr>
      <w:tblGrid>
        <w:gridCol w:w="4201"/>
        <w:gridCol w:w="4202"/>
      </w:tblGrid>
      <w:tr w14:paraId="55CE72D0">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noWrap w:val="0"/>
            <w:vAlign w:val="center"/>
          </w:tcPr>
          <w:p w14:paraId="6BED1901">
            <w:pPr>
              <w:autoSpaceDE w:val="0"/>
              <w:autoSpaceDN w:val="0"/>
              <w:adjustRightInd w:val="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甲  方</w:t>
            </w:r>
          </w:p>
        </w:tc>
        <w:tc>
          <w:tcPr>
            <w:tcW w:w="4202" w:type="dxa"/>
            <w:tcBorders>
              <w:top w:val="nil"/>
              <w:left w:val="nil"/>
              <w:bottom w:val="nil"/>
              <w:right w:val="nil"/>
            </w:tcBorders>
            <w:noWrap w:val="0"/>
            <w:vAlign w:val="center"/>
          </w:tcPr>
          <w:p w14:paraId="11F14AA3">
            <w:pPr>
              <w:autoSpaceDE w:val="0"/>
              <w:autoSpaceDN w:val="0"/>
              <w:adjustRightInd w:val="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乙  方</w:t>
            </w:r>
          </w:p>
        </w:tc>
      </w:tr>
      <w:tr w14:paraId="72C89360">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noWrap w:val="0"/>
            <w:vAlign w:val="center"/>
          </w:tcPr>
          <w:p w14:paraId="6B38D47A">
            <w:pPr>
              <w:autoSpaceDE w:val="0"/>
              <w:autoSpaceDN w:val="0"/>
              <w:adjustRightInd w:val="0"/>
              <w:ind w:firstLine="840" w:firstLineChars="35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（盖章）</w:t>
            </w:r>
          </w:p>
        </w:tc>
        <w:tc>
          <w:tcPr>
            <w:tcW w:w="4202" w:type="dxa"/>
            <w:tcBorders>
              <w:top w:val="nil"/>
              <w:left w:val="nil"/>
              <w:bottom w:val="nil"/>
              <w:right w:val="nil"/>
            </w:tcBorders>
            <w:noWrap w:val="0"/>
            <w:vAlign w:val="center"/>
          </w:tcPr>
          <w:p w14:paraId="26FDE943">
            <w:pPr>
              <w:autoSpaceDE w:val="0"/>
              <w:autoSpaceDN w:val="0"/>
              <w:adjustRightInd w:val="0"/>
              <w:ind w:firstLine="960" w:firstLineChars="40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（盖章）</w:t>
            </w:r>
          </w:p>
        </w:tc>
      </w:tr>
      <w:tr w14:paraId="2EBCC0AB">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noWrap w:val="0"/>
            <w:vAlign w:val="center"/>
          </w:tcPr>
          <w:p w14:paraId="11C999A5">
            <w:pPr>
              <w:autoSpaceDE w:val="0"/>
              <w:autoSpaceDN w:val="0"/>
              <w:adjustRightInd w:val="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 xml:space="preserve">地址： </w:t>
            </w:r>
          </w:p>
        </w:tc>
        <w:tc>
          <w:tcPr>
            <w:tcW w:w="4202" w:type="dxa"/>
            <w:tcBorders>
              <w:top w:val="nil"/>
              <w:left w:val="nil"/>
              <w:bottom w:val="nil"/>
              <w:right w:val="nil"/>
            </w:tcBorders>
            <w:noWrap w:val="0"/>
            <w:vAlign w:val="center"/>
          </w:tcPr>
          <w:p w14:paraId="4CAEDE4D">
            <w:pPr>
              <w:autoSpaceDE w:val="0"/>
              <w:autoSpaceDN w:val="0"/>
              <w:adjustRightInd w:val="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地址：</w:t>
            </w:r>
          </w:p>
        </w:tc>
      </w:tr>
      <w:tr w14:paraId="7C700CE0">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noWrap w:val="0"/>
            <w:vAlign w:val="center"/>
          </w:tcPr>
          <w:p w14:paraId="0DA569C5">
            <w:pPr>
              <w:autoSpaceDE w:val="0"/>
              <w:autoSpaceDN w:val="0"/>
              <w:adjustRightInd w:val="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法定代表人</w:t>
            </w:r>
            <w:r>
              <w:rPr>
                <w:rFonts w:hint="eastAsia" w:ascii="仿宋_GB2312" w:hAnsi="仿宋_GB2312" w:eastAsia="仿宋_GB2312" w:cs="仿宋_GB2312"/>
                <w:color w:val="auto"/>
                <w:spacing w:val="-20"/>
                <w:kern w:val="0"/>
                <w:sz w:val="28"/>
                <w:szCs w:val="28"/>
                <w:lang w:val="en-US" w:eastAsia="zh-CN"/>
              </w:rPr>
              <w:t>/被授权代表：</w:t>
            </w:r>
            <w:r>
              <w:rPr>
                <w:rFonts w:hint="eastAsia" w:ascii="仿宋_GB2312" w:hAnsi="仿宋_GB2312" w:eastAsia="仿宋_GB2312" w:cs="仿宋_GB2312"/>
                <w:color w:val="auto"/>
                <w:spacing w:val="-20"/>
                <w:kern w:val="0"/>
                <w:sz w:val="28"/>
                <w:szCs w:val="28"/>
              </w:rPr>
              <w:t xml:space="preserve"> </w:t>
            </w:r>
          </w:p>
        </w:tc>
        <w:tc>
          <w:tcPr>
            <w:tcW w:w="4202" w:type="dxa"/>
            <w:tcBorders>
              <w:top w:val="nil"/>
              <w:left w:val="nil"/>
              <w:bottom w:val="nil"/>
              <w:right w:val="nil"/>
            </w:tcBorders>
            <w:noWrap w:val="0"/>
            <w:vAlign w:val="center"/>
          </w:tcPr>
          <w:p w14:paraId="2987A0E6">
            <w:pPr>
              <w:autoSpaceDE w:val="0"/>
              <w:autoSpaceDN w:val="0"/>
              <w:adjustRightInd w:val="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法定代表人</w:t>
            </w:r>
            <w:r>
              <w:rPr>
                <w:rFonts w:hint="eastAsia" w:ascii="仿宋_GB2312" w:hAnsi="仿宋_GB2312" w:eastAsia="仿宋_GB2312" w:cs="仿宋_GB2312"/>
                <w:color w:val="auto"/>
                <w:spacing w:val="-20"/>
                <w:kern w:val="0"/>
                <w:sz w:val="28"/>
                <w:szCs w:val="28"/>
                <w:lang w:val="en-US" w:eastAsia="zh-CN"/>
              </w:rPr>
              <w:t>/被授权代表：</w:t>
            </w:r>
          </w:p>
        </w:tc>
      </w:tr>
      <w:tr w14:paraId="2DBD5D20">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noWrap w:val="0"/>
            <w:vAlign w:val="center"/>
          </w:tcPr>
          <w:p w14:paraId="05F47B5C">
            <w:pPr>
              <w:autoSpaceDE w:val="0"/>
              <w:autoSpaceDN w:val="0"/>
              <w:adjustRightInd w:val="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电话：</w:t>
            </w:r>
          </w:p>
        </w:tc>
        <w:tc>
          <w:tcPr>
            <w:tcW w:w="4202" w:type="dxa"/>
            <w:tcBorders>
              <w:top w:val="nil"/>
              <w:left w:val="nil"/>
              <w:bottom w:val="nil"/>
              <w:right w:val="nil"/>
            </w:tcBorders>
            <w:noWrap w:val="0"/>
            <w:vAlign w:val="center"/>
          </w:tcPr>
          <w:p w14:paraId="6524F25E">
            <w:pPr>
              <w:autoSpaceDE w:val="0"/>
              <w:autoSpaceDN w:val="0"/>
              <w:adjustRightInd w:val="0"/>
              <w:ind w:left="840" w:hanging="720" w:hangingChars="30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电话：</w:t>
            </w:r>
          </w:p>
        </w:tc>
      </w:tr>
      <w:tr w14:paraId="1B81FF63">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noWrap w:val="0"/>
            <w:vAlign w:val="center"/>
          </w:tcPr>
          <w:p w14:paraId="02696625">
            <w:pPr>
              <w:autoSpaceDE w:val="0"/>
              <w:autoSpaceDN w:val="0"/>
              <w:adjustRightInd w:val="0"/>
              <w:rPr>
                <w:rFonts w:hint="eastAsia" w:ascii="仿宋_GB2312" w:hAnsi="仿宋_GB2312" w:eastAsia="仿宋_GB2312" w:cs="仿宋_GB2312"/>
                <w:color w:val="auto"/>
                <w:spacing w:val="-20"/>
                <w:kern w:val="0"/>
                <w:sz w:val="28"/>
                <w:szCs w:val="28"/>
              </w:rPr>
            </w:pPr>
          </w:p>
        </w:tc>
        <w:tc>
          <w:tcPr>
            <w:tcW w:w="4202" w:type="dxa"/>
            <w:tcBorders>
              <w:top w:val="nil"/>
              <w:left w:val="nil"/>
              <w:bottom w:val="nil"/>
              <w:right w:val="nil"/>
            </w:tcBorders>
            <w:noWrap w:val="0"/>
            <w:vAlign w:val="center"/>
          </w:tcPr>
          <w:p w14:paraId="7AD3BED5">
            <w:pPr>
              <w:autoSpaceDE w:val="0"/>
              <w:autoSpaceDN w:val="0"/>
              <w:adjustRightInd w:val="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开户银行：</w:t>
            </w:r>
          </w:p>
        </w:tc>
      </w:tr>
      <w:tr w14:paraId="7691BA92">
        <w:tblPrEx>
          <w:tblCellMar>
            <w:top w:w="0" w:type="dxa"/>
            <w:left w:w="108" w:type="dxa"/>
            <w:bottom w:w="0" w:type="dxa"/>
            <w:right w:w="108" w:type="dxa"/>
          </w:tblCellMar>
        </w:tblPrEx>
        <w:trPr>
          <w:trHeight w:val="567" w:hRule="exact"/>
          <w:jc w:val="center"/>
        </w:trPr>
        <w:tc>
          <w:tcPr>
            <w:tcW w:w="4201" w:type="dxa"/>
            <w:tcBorders>
              <w:top w:val="nil"/>
              <w:left w:val="nil"/>
              <w:bottom w:val="nil"/>
              <w:right w:val="nil"/>
            </w:tcBorders>
            <w:noWrap w:val="0"/>
            <w:vAlign w:val="center"/>
          </w:tcPr>
          <w:p w14:paraId="463DBA1A">
            <w:pPr>
              <w:autoSpaceDE w:val="0"/>
              <w:autoSpaceDN w:val="0"/>
              <w:adjustRightInd w:val="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日期：</w:t>
            </w:r>
          </w:p>
        </w:tc>
        <w:tc>
          <w:tcPr>
            <w:tcW w:w="4202" w:type="dxa"/>
            <w:tcBorders>
              <w:top w:val="nil"/>
              <w:left w:val="nil"/>
              <w:bottom w:val="nil"/>
              <w:right w:val="nil"/>
            </w:tcBorders>
            <w:noWrap w:val="0"/>
            <w:vAlign w:val="center"/>
          </w:tcPr>
          <w:p w14:paraId="14B004F4">
            <w:pPr>
              <w:autoSpaceDE w:val="0"/>
              <w:autoSpaceDN w:val="0"/>
              <w:adjustRightInd w:val="0"/>
              <w:rPr>
                <w:rFonts w:hint="eastAsia" w:ascii="仿宋_GB2312" w:hAnsi="仿宋_GB2312" w:eastAsia="仿宋_GB2312" w:cs="仿宋_GB2312"/>
                <w:color w:val="auto"/>
                <w:spacing w:val="-20"/>
                <w:kern w:val="0"/>
                <w:sz w:val="28"/>
                <w:szCs w:val="28"/>
              </w:rPr>
            </w:pPr>
            <w:r>
              <w:rPr>
                <w:rFonts w:hint="eastAsia" w:ascii="仿宋_GB2312" w:hAnsi="仿宋_GB2312" w:eastAsia="仿宋_GB2312" w:cs="仿宋_GB2312"/>
                <w:color w:val="auto"/>
                <w:spacing w:val="-20"/>
                <w:kern w:val="0"/>
                <w:sz w:val="28"/>
                <w:szCs w:val="28"/>
              </w:rPr>
              <w:t>日期：</w:t>
            </w:r>
          </w:p>
        </w:tc>
      </w:tr>
    </w:tbl>
    <w:p w14:paraId="731D7A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E60C2"/>
    <w:rsid w:val="058649B7"/>
    <w:rsid w:val="07632E46"/>
    <w:rsid w:val="0D5E0CB2"/>
    <w:rsid w:val="0EB65F51"/>
    <w:rsid w:val="20D661D8"/>
    <w:rsid w:val="2E66089A"/>
    <w:rsid w:val="33552D94"/>
    <w:rsid w:val="3E3B74AF"/>
    <w:rsid w:val="53BE497F"/>
    <w:rsid w:val="5E156CC1"/>
    <w:rsid w:val="66780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1"/>
    <w:qFormat/>
    <w:uiPriority w:val="0"/>
    <w:pPr>
      <w:keepNext/>
      <w:widowControl w:val="0"/>
      <w:jc w:val="center"/>
      <w:outlineLvl w:val="0"/>
    </w:pPr>
    <w:rPr>
      <w:rFonts w:ascii="黑体" w:eastAsia="黑体"/>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Arial" w:hAnsi="Arial" w:eastAsia="Arial" w:cs="Arial"/>
      <w:sz w:val="21"/>
      <w:szCs w:val="21"/>
      <w:lang w:val="en-US" w:eastAsia="en-US" w:bidi="ar-SA"/>
    </w:rPr>
  </w:style>
  <w:style w:type="character" w:customStyle="1" w:styleId="11">
    <w:name w:val="标题 1 Char"/>
    <w:link w:val="3"/>
    <w:autoRedefine/>
    <w:qFormat/>
    <w:uiPriority w:val="0"/>
    <w:rPr>
      <w:rFonts w:ascii="黑体" w:eastAsia="黑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2990</Words>
  <Characters>3051</Characters>
  <Lines>0</Lines>
  <Paragraphs>0</Paragraphs>
  <TotalTime>0</TotalTime>
  <ScaleCrop>false</ScaleCrop>
  <LinksUpToDate>false</LinksUpToDate>
  <CharactersWithSpaces>3129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陕西华采招标有限公司</cp:lastModifiedBy>
  <dcterms:modified xsi:type="dcterms:W3CDTF">2026-02-27T08:37:56Z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eyJoZGlkIjoiYjZjMDgwYWJjZmNiM2YzZmU4MTk1ZjZmYmY1NWU1OTEiLCJ1c2VySWQiOiI5MzY1NjA0ODAifQ==</vt:lpwstr>
  </property>
  <property fmtid="{D5CDD505-2E9C-101B-9397-08002B2CF9AE}" pid="4" name="ICV">
    <vt:lpwstr>9B229BE863694081B687C666C95C97D4_12</vt:lpwstr>
  </property>
</Properties>
</file>