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版本号：SCZH2025-CS-3446-00120260227001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扩建项目代建管理单位采购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SCZH2025-CS-3446-001</w:t>
      </w:r>
      <w:r>
        <w:br/>
      </w:r>
      <w:r>
        <w:br/>
      </w:r>
      <w:r>
        <w:br/>
      </w:r>
    </w:p>
    <w:p>
      <w:pPr>
        <w:pStyle w:val="null3"/>
        <w:jc w:val="center"/>
        <w:outlineLvl w:val="2"/>
      </w:pPr>
      <w:r>
        <w:rPr>
          <w:rFonts w:ascii="仿宋_GB2312" w:hAnsi="仿宋_GB2312" w:cs="仿宋_GB2312" w:eastAsia="仿宋_GB2312"/>
          <w:sz w:val="28"/>
          <w:b/>
        </w:rPr>
        <w:t>西安市高新逸翠园初级中学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西安市高新逸翠园初级中学</w:t>
      </w:r>
      <w:r>
        <w:rPr>
          <w:rFonts w:ascii="仿宋_GB2312" w:hAnsi="仿宋_GB2312" w:cs="仿宋_GB2312" w:eastAsia="仿宋_GB2312"/>
        </w:rPr>
        <w:t>委托，拟对</w:t>
      </w:r>
      <w:r>
        <w:rPr>
          <w:rFonts w:ascii="仿宋_GB2312" w:hAnsi="仿宋_GB2312" w:cs="仿宋_GB2312" w:eastAsia="仿宋_GB2312"/>
        </w:rPr>
        <w:t>扩建项目代建管理单位采购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SCZH2025-CS-3446-001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扩建项目代建管理单位采购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现有校舍及相关设施进行扩建，新建建筑面积约7908平方米，概算投资额为53305100.00元，主要建设内容包括教学综合楼及配套室外设施。采购内容为本项目的代建服务；主要功能或目标:对参建各方进行管理和监督，代表建设单位对项目建设相关的全部工作进行监督和协调，实行全过程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采购包1（扩建项目代建管理单位采购）：属于专门面向中小企业采购。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1、无：无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西安市高新逸翠园初级中学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西安高新区唐延南路交通辅道76号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029-84503515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年婷婷、韩昱晨、王斌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029-88210541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采购包1：839,700.00元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价为基准价按照《国家计委印发&lt;招标代理服务费收取管理暂行办法&gt;的通知》（计价格【2002】1980号）文件、国家发改委下发的《关于招标代理服务收费有关问题的通知》发改办价格[2003]857号及《关于降低部分建设项目收费标准规范收费行为等有关问题的通知》[2011]534号文件取费标准下浮30%计算。其中，中标价（成交价）在5万元以内的，免费；中标价（成交价）在5万元-20万元的，每个项目招标代理服务费按照2000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西安市高新逸翠园初级中学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西安市高新逸翠园初级中学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西安市高新逸翠园初级中学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现有校舍及相关设施进行扩建，新建建筑面积约7908平方米，主要建设内容包括教学综合楼及配套室外设施。概算投资额为53305100.00元，主要建设内容包括教学综合楼及配套室外设施。采购内容为本项目的代建服务；主要功能或目标:对参建各方进行管理和监督，代表建设单位对项目建设相关的全部工作进行监督和协调，实行全过程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839,700.00</w:t>
      </w:r>
    </w:p>
    <w:p>
      <w:pPr>
        <w:pStyle w:val="null3"/>
      </w:pPr>
      <w:r>
        <w:rPr>
          <w:rFonts w:ascii="仿宋_GB2312" w:hAnsi="仿宋_GB2312" w:cs="仿宋_GB2312" w:eastAsia="仿宋_GB2312"/>
        </w:rPr>
        <w:t>采购包最高限价（元）: 839,700.00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扩建项目代建管理单位采购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839,700.00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标的名称：扩建项目代建管理单位采购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技术要求</w:t>
            </w:r>
          </w:p>
          <w:p>
            <w:pPr>
              <w:pStyle w:val="null3"/>
            </w:pPr>
            <w:r>
              <w:rPr>
                <w:rFonts w:ascii="仿宋_GB2312" w:hAnsi="仿宋_GB2312" w:cs="仿宋_GB2312" w:eastAsia="仿宋_GB2312"/>
                <w:sz w:val="20"/>
              </w:rPr>
              <w:t>1.1服务需求</w:t>
            </w:r>
          </w:p>
          <w:p>
            <w:pPr>
              <w:pStyle w:val="null3"/>
            </w:pPr>
            <w:r>
              <w:rPr>
                <w:rFonts w:ascii="仿宋_GB2312" w:hAnsi="仿宋_GB2312" w:cs="仿宋_GB2312" w:eastAsia="仿宋_GB2312"/>
                <w:sz w:val="20"/>
              </w:rPr>
              <w:t>项目建设管理</w:t>
            </w:r>
            <w:r>
              <w:rPr>
                <w:rFonts w:ascii="仿宋_GB2312" w:hAnsi="仿宋_GB2312" w:cs="仿宋_GB2312" w:eastAsia="仿宋_GB2312"/>
                <w:sz w:val="20"/>
              </w:rPr>
              <w:t>,包括但不限于:报批报建、勘察设计、招标采购、预算编制、施工、监理、材料设备采购、竣工验收、竣工结算编制等过程的管理工作。</w:t>
            </w:r>
            <w:r>
              <w:br/>
            </w:r>
            <w:r>
              <w:rPr>
                <w:rFonts w:ascii="仿宋_GB2312" w:hAnsi="仿宋_GB2312" w:cs="仿宋_GB2312" w:eastAsia="仿宋_GB2312"/>
                <w:sz w:val="20"/>
              </w:rPr>
              <w:t>1.2 服务方案要求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代建管理目标清晰明确、范围全面、内容完整。</w:t>
            </w:r>
            <w:r>
              <w:rPr>
                <w:rFonts w:ascii="仿宋_GB2312" w:hAnsi="仿宋_GB2312" w:cs="仿宋_GB2312" w:eastAsia="仿宋_GB2312"/>
                <w:sz w:val="20"/>
              </w:rPr>
              <w:t>结合采购人实际情况，突出体现工程特点；</w:t>
            </w:r>
          </w:p>
          <w:p>
            <w:pPr>
              <w:pStyle w:val="null3"/>
            </w:pPr>
            <w:r>
              <w:rPr>
                <w:rFonts w:ascii="仿宋_GB2312" w:hAnsi="仿宋_GB2312" w:cs="仿宋_GB2312" w:eastAsia="仿宋_GB2312"/>
                <w:sz w:val="20"/>
              </w:rPr>
              <w:t>2.项目质量管理严格按照强制性规范、具有保证质量的行之有效的措施；</w:t>
            </w:r>
          </w:p>
          <w:p>
            <w:pPr>
              <w:pStyle w:val="null3"/>
            </w:pPr>
            <w:r>
              <w:rPr>
                <w:rFonts w:ascii="仿宋_GB2312" w:hAnsi="仿宋_GB2312" w:cs="仿宋_GB2312" w:eastAsia="仿宋_GB2312"/>
                <w:sz w:val="20"/>
              </w:rPr>
              <w:t>3.安全、环保及职业健康管理，严格按照工程特点，制定相应措施。</w:t>
            </w:r>
          </w:p>
          <w:p>
            <w:pPr>
              <w:pStyle w:val="null3"/>
            </w:pPr>
            <w:r>
              <w:rPr>
                <w:rFonts w:ascii="仿宋_GB2312" w:hAnsi="仿宋_GB2312" w:cs="仿宋_GB2312" w:eastAsia="仿宋_GB2312"/>
                <w:sz w:val="20"/>
              </w:rPr>
              <w:t>4.进度管理，视本项目的具体特点制定行之有效的工期管理、缩短工期等合理化建议；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代建前期管理工作</w:t>
            </w:r>
            <w:r>
              <w:rPr>
                <w:rFonts w:ascii="仿宋_GB2312" w:hAnsi="仿宋_GB2312" w:cs="仿宋_GB2312" w:eastAsia="仿宋_GB2312"/>
                <w:sz w:val="20"/>
              </w:rPr>
              <w:t>，思路清晰，程序管理合理、措施有效；</w:t>
            </w:r>
          </w:p>
          <w:p>
            <w:pPr>
              <w:pStyle w:val="null3"/>
              <w:jc w:val="both"/>
            </w:pPr>
            <w:r>
              <w:rPr>
                <w:rFonts w:ascii="仿宋_GB2312" w:hAnsi="仿宋_GB2312" w:cs="仿宋_GB2312" w:eastAsia="仿宋_GB2312"/>
                <w:sz w:val="20"/>
              </w:rPr>
              <w:t>6.投资与成本控制，针对各阶段具有切实可靠的成本控制措施、成本控制方法，具有可操作性；</w:t>
            </w:r>
          </w:p>
          <w:p>
            <w:pPr>
              <w:pStyle w:val="null3"/>
              <w:jc w:val="both"/>
            </w:pPr>
            <w:r>
              <w:rPr>
                <w:rFonts w:ascii="仿宋_GB2312" w:hAnsi="仿宋_GB2312" w:cs="仿宋_GB2312" w:eastAsia="仿宋_GB2312"/>
                <w:sz w:val="20"/>
              </w:rPr>
              <w:t>7.采购与合同管理方案明确、控制措施得力；</w:t>
            </w:r>
          </w:p>
          <w:p>
            <w:pPr>
              <w:pStyle w:val="null3"/>
            </w:pPr>
            <w:r>
              <w:rPr>
                <w:rFonts w:ascii="仿宋_GB2312" w:hAnsi="仿宋_GB2312" w:cs="仿宋_GB2312" w:eastAsia="仿宋_GB2312"/>
                <w:sz w:val="20"/>
              </w:rPr>
              <w:t>8.有详细清晰的全过程风险管理计划及风险管理实施程序；</w:t>
            </w:r>
          </w:p>
          <w:p>
            <w:pPr>
              <w:pStyle w:val="null3"/>
            </w:pPr>
            <w:r>
              <w:rPr>
                <w:rFonts w:ascii="仿宋_GB2312" w:hAnsi="仿宋_GB2312" w:cs="仿宋_GB2312" w:eastAsia="仿宋_GB2312"/>
                <w:sz w:val="20"/>
              </w:rPr>
              <w:t>9.信息管理与沟通协调，有全面的信息管理措施、具有有效的沟通管理机制，保证项目沟通及信息传递顺畅有序；</w:t>
            </w:r>
          </w:p>
          <w:p>
            <w:pPr>
              <w:pStyle w:val="null3"/>
              <w:jc w:val="both"/>
            </w:pPr>
            <w:r>
              <w:rPr>
                <w:rFonts w:ascii="仿宋_GB2312" w:hAnsi="仿宋_GB2312" w:cs="仿宋_GB2312" w:eastAsia="仿宋_GB2312"/>
                <w:sz w:val="20"/>
              </w:rPr>
              <w:t>10.验收配合及移交方案，竣工验收计划全面且程序完善，移交方案完备</w:t>
            </w:r>
            <w:r>
              <w:rPr>
                <w:rFonts w:ascii="仿宋_GB2312" w:hAnsi="仿宋_GB2312" w:cs="仿宋_GB2312" w:eastAsia="仿宋_GB2312"/>
                <w:sz w:val="20"/>
              </w:rPr>
              <w:t>。</w:t>
            </w:r>
          </w:p>
          <w:p>
            <w:pPr>
              <w:pStyle w:val="null3"/>
            </w:pPr>
            <w:r>
              <w:rPr>
                <w:rFonts w:ascii="仿宋_GB2312" w:hAnsi="仿宋_GB2312" w:cs="仿宋_GB2312" w:eastAsia="仿宋_GB2312"/>
                <w:sz w:val="20"/>
              </w:rPr>
              <w:t>2.质量要求</w:t>
            </w:r>
          </w:p>
          <w:p>
            <w:pPr>
              <w:pStyle w:val="null3"/>
            </w:pPr>
            <w:r>
              <w:rPr>
                <w:rFonts w:ascii="仿宋_GB2312" w:hAnsi="仿宋_GB2312" w:cs="仿宋_GB2312" w:eastAsia="仿宋_GB2312"/>
                <w:sz w:val="20"/>
              </w:rPr>
              <w:t>符合国家工程质量标准合格要求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为顺利推进政府采购电子化交易平台试点应用工作，供应商需要在线提交所有通过电子化交易平台实施的政府采购项目的竞争性磋商响应文件。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自本合同签订之日起，至项目验收合格结算完毕，工程质保期届满之日结束。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代建管理费按每月完成产值为基数，按费率支付相应管理费用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未按合同或竞争性磋商文件要求提供服务质量不能满足采购人技术要求，采购人有权终止合同，并对供应商违约行为进行追究。具体违约情况及解决方法以实际签订合同为准。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供应商需在项目电子化交易系统中按要求填写承诺函并进行电子签章，其中具有独立承担民事责任的能力需提供法人或者其他组织的营业执照等证明文件，自然人的身份证明。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供应商需在项目电子化交易系统中按要求填写承诺函并进行电子签章。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1.符合磋商文件要求，磋商响应文件上法定代表人或其授权代表人的签字齐全并加盖公章； 2.应符合“磋商响应文件格式”要求；</w:t>
            </w:r>
          </w:p>
        </w:tc>
        <w:tc>
          <w:tcPr>
            <w:tcW w:type="dxa" w:w="1661"/>
          </w:tcPr>
          <w:p>
            <w:pPr>
              <w:pStyle w:val="null3"/>
            </w:pPr>
            <w:r>
              <w:rPr>
                <w:rFonts w:ascii="仿宋_GB2312" w:hAnsi="仿宋_GB2312" w:cs="仿宋_GB2312" w:eastAsia="仿宋_GB2312"/>
              </w:rPr>
              <w:t>业绩.docx 服务内容及服务邀请应答表 中小企业声明函 合同条款偏离表.docx 商务应答表 质疑函.docx 供应商应提交的相关资格证明材料 报价表 资格证明文件.docx 响应文件封面 政府采购供应商拒绝政府采购领域商业贿赂承诺书.docx 残疾人福利性单位声明函 技术方案响应说明.docx 标的清单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商务应答表 标的清单 报价表 响应函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业绩.docx 服务内容及服务邀请应答表 中小企业声明函 合同条款偏离表.docx 商务应答表 质疑函.docx 供应商应提交的相关资格证明材料 报价表 资格证明文件.docx 响应文件封面 政府采购供应商拒绝政府采购领域商业贿赂承诺书.docx 残疾人福利性单位声明函 技术方案响应说明.docx 标的清单 响应函 报价表.docx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代建管理目标</w:t>
            </w:r>
          </w:p>
        </w:tc>
        <w:tc>
          <w:tcPr>
            <w:tcW w:type="dxa" w:w="2492"/>
          </w:tcPr>
          <w:p>
            <w:pPr>
              <w:pStyle w:val="null3"/>
            </w:pPr>
            <w:r>
              <w:rPr>
                <w:rFonts w:ascii="仿宋_GB2312" w:hAnsi="仿宋_GB2312" w:cs="仿宋_GB2312" w:eastAsia="仿宋_GB2312"/>
              </w:rPr>
              <w:t>代建管理目标清晰明确、范围全面、内容完整。结合采购人实际情况，突出体现工程特点，能满足项目采购需求得5分；响应内容有瑕疵的，出现瑕疵处扣0.5分。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项目质量管理严格按照强制性规范、具有保证质量的行之有效的措施，能满足项目采购需求得5分；响应内容有瑕疵的，出现瑕疵处扣0.5分。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进度管理</w:t>
            </w:r>
          </w:p>
        </w:tc>
        <w:tc>
          <w:tcPr>
            <w:tcW w:type="dxa" w:w="2492"/>
          </w:tcPr>
          <w:p>
            <w:pPr>
              <w:pStyle w:val="null3"/>
            </w:pPr>
            <w:r>
              <w:rPr>
                <w:rFonts w:ascii="仿宋_GB2312" w:hAnsi="仿宋_GB2312" w:cs="仿宋_GB2312" w:eastAsia="仿宋_GB2312"/>
              </w:rPr>
              <w:t>项目进度计划安排，视项目的具体特点制定行之有效的工期管理、缩短工期措施，计划进度安排合理、工期管理目标明确，能满足项目采购需求得5分；响应内容有瑕疵的，出现瑕疵处扣0.5分。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安全、环保及职业健康管理</w:t>
            </w:r>
          </w:p>
        </w:tc>
        <w:tc>
          <w:tcPr>
            <w:tcW w:type="dxa" w:w="2492"/>
          </w:tcPr>
          <w:p>
            <w:pPr>
              <w:pStyle w:val="null3"/>
            </w:pPr>
            <w:r>
              <w:rPr>
                <w:rFonts w:ascii="仿宋_GB2312" w:hAnsi="仿宋_GB2312" w:cs="仿宋_GB2312" w:eastAsia="仿宋_GB2312"/>
              </w:rPr>
              <w:t>确保安全管理、环保及职业健康管理，严格按照工程特点，制定相应措施，能满足项目采购需求得5分；响应内容有瑕疵的，出现瑕疵处扣0.5分。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前期管理</w:t>
            </w:r>
          </w:p>
        </w:tc>
        <w:tc>
          <w:tcPr>
            <w:tcW w:type="dxa" w:w="2492"/>
          </w:tcPr>
          <w:p>
            <w:pPr>
              <w:pStyle w:val="null3"/>
            </w:pPr>
            <w:r>
              <w:rPr>
                <w:rFonts w:ascii="仿宋_GB2312" w:hAnsi="仿宋_GB2312" w:cs="仿宋_GB2312" w:eastAsia="仿宋_GB2312"/>
              </w:rPr>
              <w:t>代建前期管理工作，程序管理合理、措施有效。制定相应措施，能满足项目采购需求得5分；响应内容有瑕疵的，出现瑕疵处扣0.5分。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投资与成本控制</w:t>
            </w:r>
          </w:p>
        </w:tc>
        <w:tc>
          <w:tcPr>
            <w:tcW w:type="dxa" w:w="2492"/>
          </w:tcPr>
          <w:p>
            <w:pPr>
              <w:pStyle w:val="null3"/>
            </w:pPr>
            <w:r>
              <w:rPr>
                <w:rFonts w:ascii="仿宋_GB2312" w:hAnsi="仿宋_GB2312" w:cs="仿宋_GB2312" w:eastAsia="仿宋_GB2312"/>
              </w:rPr>
              <w:t>投资与成本控制，针对各阶段具有切实可靠的成本控制措施、成本控制方法，具有可操作性。制定相应措施，能满足项目采购需求得5分；响应内容有瑕疵的，出现瑕疵处扣0.5分。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采购与合同管理</w:t>
            </w:r>
          </w:p>
        </w:tc>
        <w:tc>
          <w:tcPr>
            <w:tcW w:type="dxa" w:w="2492"/>
          </w:tcPr>
          <w:p>
            <w:pPr>
              <w:pStyle w:val="null3"/>
            </w:pPr>
            <w:r>
              <w:rPr>
                <w:rFonts w:ascii="仿宋_GB2312" w:hAnsi="仿宋_GB2312" w:cs="仿宋_GB2312" w:eastAsia="仿宋_GB2312"/>
              </w:rPr>
              <w:t>采购与合同管理方案明确、控制措施得力。制定相应措施，能满足项目采购需求得5分；响应内容有瑕疵的，出现瑕疵处扣0.5分。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全过程风险管理计划及风险管理实施</w:t>
            </w:r>
          </w:p>
        </w:tc>
        <w:tc>
          <w:tcPr>
            <w:tcW w:type="dxa" w:w="2492"/>
          </w:tcPr>
          <w:p>
            <w:pPr>
              <w:pStyle w:val="null3"/>
            </w:pPr>
            <w:r>
              <w:rPr>
                <w:rFonts w:ascii="仿宋_GB2312" w:hAnsi="仿宋_GB2312" w:cs="仿宋_GB2312" w:eastAsia="仿宋_GB2312"/>
              </w:rPr>
              <w:t>有详细清晰的全过程风险管理计划及风险管理实施程序，能满足项目采购需求得5分；响应内容有瑕疵的，出现瑕疵处扣0.5分。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信息管理与沟通协调</w:t>
            </w:r>
          </w:p>
        </w:tc>
        <w:tc>
          <w:tcPr>
            <w:tcW w:type="dxa" w:w="2492"/>
          </w:tcPr>
          <w:p>
            <w:pPr>
              <w:pStyle w:val="null3"/>
            </w:pPr>
            <w:r>
              <w:rPr>
                <w:rFonts w:ascii="仿宋_GB2312" w:hAnsi="仿宋_GB2312" w:cs="仿宋_GB2312" w:eastAsia="仿宋_GB2312"/>
              </w:rPr>
              <w:t>信息管理与沟通协调，有全面的信息管理措施、具有有效的沟通管理机制 保证项目沟通及信息传递顺畅，能满足项目采购需求得5分；响应内容有瑕疵的，出现瑕疵处扣0.5分。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验收配合及移交方案</w:t>
            </w:r>
          </w:p>
        </w:tc>
        <w:tc>
          <w:tcPr>
            <w:tcW w:type="dxa" w:w="2492"/>
          </w:tcPr>
          <w:p>
            <w:pPr>
              <w:pStyle w:val="null3"/>
            </w:pPr>
            <w:r>
              <w:rPr>
                <w:rFonts w:ascii="仿宋_GB2312" w:hAnsi="仿宋_GB2312" w:cs="仿宋_GB2312" w:eastAsia="仿宋_GB2312"/>
              </w:rPr>
              <w:t>验收配合及移交方案，竣工验收计划全面且程序完善，移交方案完备，能满足项目采购需求得5分；响应内容有瑕疵的，出现瑕疵处扣0.5分。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1.项目负责人（6分）： 担任过工程代建项目负责人的每个业绩3分，满分6分。（项目负责人业绩为2021年至今，业绩以合同或中标通知书或公司任命书为准）； 2.代建管理团队岗位人员配备要求必须满足以下内容（14分）： （1）现场管理岗：配备4人，至少2人具备工程类相关专业工程师； （2）设计管理岗：配备2人，至少1人具备工程类相关专业工程师； （3）造价管理岗：配备2人，至少1人具备工程类相关造价专业； （4）招投标及合同管理岗：配备1人； （5）报建及档案管理岗位：配备1人。 满足上述条件者得满分14分，每少于1人扣1分，不符合专业要求扣1分/个，扣完为止。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供应商提供近五年（2021年1月1日至今）类似项目业绩，每个业绩2.5分，满分10分。以合同签订时间或中标（成交）通知书时间为准。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详见附件：技术方案响应说明.docx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详见附件：质疑函.docx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