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6ABD18">
      <w:pPr>
        <w:keepNext w:val="0"/>
        <w:keepLines w:val="0"/>
        <w:pageBreakBefore w:val="0"/>
        <w:widowControl w:val="0"/>
        <w:kinsoku/>
        <w:wordWrap/>
        <w:overflowPunct/>
        <w:topLinePunct w:val="0"/>
        <w:autoSpaceDE w:val="0"/>
        <w:autoSpaceDN w:val="0"/>
        <w:bidi w:val="0"/>
        <w:adjustRightInd w:val="0"/>
        <w:snapToGrid w:val="0"/>
        <w:spacing w:line="360" w:lineRule="auto"/>
        <w:jc w:val="center"/>
        <w:textAlignment w:val="auto"/>
        <w:rPr>
          <w:rFonts w:hint="eastAsia" w:ascii="仿宋_GB2312" w:hAnsi="仿宋" w:eastAsia="仿宋_GB2312"/>
          <w:bCs/>
          <w:sz w:val="44"/>
          <w:szCs w:val="44"/>
          <w:highlight w:val="none"/>
        </w:rPr>
      </w:pPr>
      <w:r>
        <w:rPr>
          <w:rFonts w:hint="eastAsia" w:ascii="仿宋_GB2312" w:hAnsi="仿宋" w:eastAsia="仿宋_GB2312"/>
          <w:b/>
          <w:bCs w:val="0"/>
          <w:sz w:val="44"/>
          <w:szCs w:val="44"/>
          <w:highlight w:val="none"/>
        </w:rPr>
        <w:t>拟签订采购合同文本</w:t>
      </w:r>
    </w:p>
    <w:p w14:paraId="2AE4719B">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 xml:space="preserve">甲方（采购人）： </w:t>
      </w:r>
    </w:p>
    <w:p w14:paraId="50B982CA">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 xml:space="preserve">乙方（成交供应商）： </w:t>
      </w:r>
    </w:p>
    <w:p w14:paraId="523A2044">
      <w:pPr>
        <w:keepNext w:val="0"/>
        <w:keepLines w:val="0"/>
        <w:pageBreakBefore w:val="0"/>
        <w:widowControl/>
        <w:kinsoku w:val="0"/>
        <w:wordWrap w:val="0"/>
        <w:overflowPunct/>
        <w:topLinePunct w:val="0"/>
        <w:autoSpaceDE w:val="0"/>
        <w:autoSpaceDN w:val="0"/>
        <w:bidi w:val="0"/>
        <w:adjustRightInd w:val="0"/>
        <w:snapToGrid w:val="0"/>
        <w:spacing w:line="360" w:lineRule="auto"/>
        <w:ind w:firstLine="560" w:firstLineChars="200"/>
        <w:textAlignment w:val="baseline"/>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u w:val="single"/>
          <w:lang w:val="en-US" w:eastAsia="zh-CN"/>
        </w:rPr>
        <w:t xml:space="preserve">鸟类等野生动物保护项目 </w:t>
      </w:r>
      <w:r>
        <w:rPr>
          <w:rFonts w:hint="eastAsia" w:ascii="仿宋_GB2312" w:hAnsi="仿宋_GB2312" w:eastAsia="仿宋_GB2312" w:cs="仿宋_GB2312"/>
          <w:bCs/>
          <w:sz w:val="28"/>
          <w:szCs w:val="28"/>
          <w:u w:val="single"/>
        </w:rPr>
        <w:t>(项目编号：</w:t>
      </w:r>
      <w:r>
        <w:rPr>
          <w:rFonts w:hint="eastAsia" w:ascii="仿宋_GB2312" w:hAnsi="仿宋_GB2312" w:eastAsia="仿宋_GB2312" w:cs="仿宋_GB2312"/>
          <w:bCs/>
          <w:sz w:val="28"/>
          <w:szCs w:val="28"/>
          <w:u w:val="single"/>
          <w:lang w:eastAsia="zh-CN"/>
        </w:rPr>
        <w:t>SXHC2026-022</w:t>
      </w:r>
      <w:r>
        <w:rPr>
          <w:rFonts w:hint="eastAsia" w:ascii="仿宋_GB2312" w:hAnsi="仿宋_GB2312" w:eastAsia="仿宋_GB2312" w:cs="仿宋_GB2312"/>
          <w:bCs/>
          <w:sz w:val="28"/>
          <w:szCs w:val="28"/>
          <w:u w:val="single"/>
        </w:rPr>
        <w:t>)</w:t>
      </w:r>
      <w:r>
        <w:rPr>
          <w:rFonts w:hint="eastAsia" w:ascii="仿宋_GB2312" w:hAnsi="仿宋_GB2312" w:eastAsia="仿宋_GB2312" w:cs="仿宋_GB2312"/>
          <w:bCs/>
          <w:sz w:val="28"/>
          <w:szCs w:val="28"/>
        </w:rPr>
        <w:t>，由陕西华采招标有限公司组织竞争性磋商，</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(以下简称“甲方”)确定</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（以下简称“乙方”）为该项目的成交供应商。</w:t>
      </w:r>
    </w:p>
    <w:p w14:paraId="4975D461">
      <w:pPr>
        <w:keepNext w:val="0"/>
        <w:keepLines w:val="0"/>
        <w:pageBreakBefore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依据《中华人民共和国</w:t>
      </w:r>
      <w:r>
        <w:rPr>
          <w:rFonts w:hint="eastAsia" w:ascii="仿宋_GB2312" w:hAnsi="仿宋_GB2312" w:eastAsia="仿宋_GB2312" w:cs="仿宋_GB2312"/>
          <w:bCs/>
          <w:sz w:val="28"/>
          <w:szCs w:val="28"/>
          <w:lang w:val="en-US" w:eastAsia="zh-CN"/>
        </w:rPr>
        <w:t>民法典</w:t>
      </w:r>
      <w:r>
        <w:rPr>
          <w:rFonts w:hint="eastAsia" w:ascii="仿宋_GB2312" w:hAnsi="仿宋_GB2312" w:eastAsia="仿宋_GB2312" w:cs="仿宋_GB2312"/>
          <w:bCs/>
          <w:sz w:val="28"/>
          <w:szCs w:val="28"/>
        </w:rPr>
        <w:t>》和《中华人民共和国政府采购法》之规定，经双方在平等、自愿、互利的基础上，签订本合同，共同信守。</w:t>
      </w:r>
    </w:p>
    <w:p w14:paraId="48A3CE95">
      <w:pPr>
        <w:autoSpaceDE w:val="0"/>
        <w:autoSpaceDN w:val="0"/>
        <w:adjustRightInd w:val="0"/>
        <w:snapToGrid w:val="0"/>
        <w:spacing w:line="360" w:lineRule="auto"/>
        <w:ind w:firstLine="562" w:firstLineChars="200"/>
        <w:rPr>
          <w:rFonts w:hint="default" w:ascii="仿宋_GB2312" w:hAnsi="仿宋" w:eastAsia="仿宋_GB2312"/>
          <w:b/>
          <w:sz w:val="28"/>
          <w:szCs w:val="28"/>
          <w:u w:val="single"/>
          <w:lang w:val="en-US" w:eastAsia="zh-CN"/>
        </w:rPr>
      </w:pPr>
      <w:r>
        <w:rPr>
          <w:rFonts w:hint="eastAsia" w:ascii="仿宋_GB2312" w:hAnsi="仿宋" w:eastAsia="仿宋_GB2312"/>
          <w:b/>
          <w:sz w:val="28"/>
          <w:szCs w:val="28"/>
          <w:lang w:val="en-US" w:eastAsia="zh-CN"/>
        </w:rPr>
        <w:t>一</w:t>
      </w:r>
      <w:r>
        <w:rPr>
          <w:rFonts w:hint="eastAsia" w:ascii="仿宋_GB2312" w:hAnsi="仿宋" w:eastAsia="仿宋_GB2312"/>
          <w:b/>
          <w:sz w:val="28"/>
          <w:szCs w:val="28"/>
        </w:rPr>
        <w:t>、委托工作内容</w:t>
      </w:r>
      <w:r>
        <w:rPr>
          <w:rFonts w:hint="eastAsia" w:ascii="仿宋_GB2312" w:hAnsi="仿宋" w:eastAsia="仿宋_GB2312"/>
          <w:b/>
          <w:sz w:val="28"/>
          <w:szCs w:val="28"/>
          <w:lang w:eastAsia="zh-CN"/>
        </w:rPr>
        <w:t>：</w:t>
      </w:r>
      <w:r>
        <w:rPr>
          <w:rFonts w:hint="eastAsia" w:ascii="仿宋_GB2312" w:hAnsi="仿宋" w:eastAsia="仿宋_GB2312"/>
          <w:b/>
          <w:bCs/>
          <w:color w:val="auto"/>
          <w:sz w:val="28"/>
          <w:szCs w:val="28"/>
          <w:u w:val="single"/>
          <w:lang w:val="en-US" w:eastAsia="zh-CN"/>
        </w:rPr>
        <w:t xml:space="preserve">                                 </w:t>
      </w:r>
      <w:r>
        <w:rPr>
          <w:rFonts w:hint="eastAsia" w:ascii="仿宋_GB2312" w:hAnsi="仿宋" w:eastAsia="仿宋_GB2312"/>
          <w:b/>
          <w:bCs/>
          <w:color w:val="auto"/>
          <w:sz w:val="28"/>
          <w:szCs w:val="28"/>
          <w:u w:val="none"/>
          <w:lang w:val="en-US" w:eastAsia="zh-CN"/>
        </w:rPr>
        <w:t>。</w:t>
      </w:r>
    </w:p>
    <w:p w14:paraId="5239FA25">
      <w:pPr>
        <w:keepNext w:val="0"/>
        <w:keepLines w:val="0"/>
        <w:pageBreakBefore w:val="0"/>
        <w:widowControl w:val="0"/>
        <w:kinsoku/>
        <w:wordWrap/>
        <w:overflowPunct/>
        <w:topLinePunct w:val="0"/>
        <w:bidi w:val="0"/>
        <w:adjustRightInd w:val="0"/>
        <w:snapToGrid w:val="0"/>
        <w:spacing w:line="360" w:lineRule="auto"/>
        <w:ind w:firstLine="562" w:firstLineChars="200"/>
        <w:textAlignment w:val="auto"/>
        <w:rPr>
          <w:rFonts w:hint="eastAsia" w:ascii="仿宋_GB2312" w:hAnsi="仿宋_GB2312" w:eastAsia="仿宋_GB2312" w:cs="仿宋_GB2312"/>
          <w:b/>
          <w:sz w:val="28"/>
          <w:szCs w:val="28"/>
          <w:highlight w:val="none"/>
        </w:rPr>
      </w:pPr>
      <w:r>
        <w:rPr>
          <w:rFonts w:hint="eastAsia" w:ascii="仿宋_GB2312" w:hAnsi="仿宋_GB2312" w:eastAsia="仿宋_GB2312" w:cs="仿宋_GB2312"/>
          <w:b/>
          <w:sz w:val="28"/>
          <w:szCs w:val="28"/>
          <w:highlight w:val="none"/>
          <w:lang w:val="en-US" w:eastAsia="zh-CN"/>
        </w:rPr>
        <w:t>二</w:t>
      </w:r>
      <w:r>
        <w:rPr>
          <w:rFonts w:hint="eastAsia" w:ascii="仿宋_GB2312" w:hAnsi="仿宋_GB2312" w:eastAsia="仿宋_GB2312" w:cs="仿宋_GB2312"/>
          <w:b/>
          <w:sz w:val="28"/>
          <w:szCs w:val="28"/>
          <w:highlight w:val="none"/>
        </w:rPr>
        <w:t>、合同价款</w:t>
      </w:r>
    </w:p>
    <w:p w14:paraId="36612AEF">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（一）合同总价款为人民币（大写）</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u w:val="single"/>
          <w:lang w:val="en-US" w:eastAsia="zh-CN"/>
        </w:rPr>
        <w:t xml:space="preserve">  </w:t>
      </w:r>
      <w:r>
        <w:rPr>
          <w:rFonts w:hint="eastAsia" w:ascii="仿宋_GB2312" w:hAnsi="仿宋_GB2312" w:eastAsia="仿宋_GB2312" w:cs="仿宋_GB2312"/>
          <w:sz w:val="28"/>
          <w:szCs w:val="28"/>
          <w:highlight w:val="none"/>
        </w:rPr>
        <w:t>（</w:t>
      </w:r>
      <w:r>
        <w:rPr>
          <w:rFonts w:hint="eastAsia" w:ascii="微软雅黑" w:hAnsi="微软雅黑" w:eastAsia="微软雅黑" w:cs="微软雅黑"/>
          <w:sz w:val="28"/>
          <w:szCs w:val="28"/>
          <w:highlight w:val="none"/>
          <w:lang w:val="en-US" w:eastAsia="zh-CN"/>
        </w:rPr>
        <w:t>￥</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u w:val="single"/>
          <w:lang w:val="en-US" w:eastAsia="zh-CN"/>
        </w:rPr>
        <w:t xml:space="preserve">    </w:t>
      </w:r>
      <w:r>
        <w:rPr>
          <w:rFonts w:hint="eastAsia" w:ascii="仿宋_GB2312" w:hAnsi="仿宋_GB2312" w:eastAsia="仿宋_GB2312" w:cs="仿宋_GB2312"/>
          <w:sz w:val="28"/>
          <w:szCs w:val="28"/>
          <w:highlight w:val="none"/>
        </w:rPr>
        <w:t>）。</w:t>
      </w:r>
    </w:p>
    <w:p w14:paraId="2F324206">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rPr>
        <w:t>（二）</w:t>
      </w:r>
      <w:r>
        <w:rPr>
          <w:rFonts w:hint="eastAsia" w:ascii="仿宋_GB2312" w:hAnsi="仿宋_GB2312" w:eastAsia="仿宋_GB2312" w:cs="仿宋_GB2312"/>
          <w:bCs/>
          <w:sz w:val="28"/>
          <w:szCs w:val="28"/>
          <w:highlight w:val="none"/>
        </w:rPr>
        <w:t>合同总价</w:t>
      </w:r>
      <w:r>
        <w:rPr>
          <w:rFonts w:hint="eastAsia" w:ascii="仿宋_GB2312" w:hAnsi="仿宋_GB2312" w:eastAsia="仿宋_GB2312" w:cs="仿宋_GB2312"/>
          <w:bCs/>
          <w:sz w:val="28"/>
          <w:szCs w:val="28"/>
          <w:highlight w:val="none"/>
          <w:lang w:val="en-US" w:eastAsia="zh-CN"/>
        </w:rPr>
        <w:t>包括</w:t>
      </w:r>
      <w:r>
        <w:rPr>
          <w:rFonts w:hint="eastAsia" w:ascii="仿宋_GB2312" w:hAnsi="仿宋_GB2312" w:eastAsia="仿宋_GB2312" w:cs="仿宋_GB2312"/>
          <w:bCs/>
          <w:sz w:val="28"/>
          <w:szCs w:val="28"/>
          <w:highlight w:val="none"/>
        </w:rPr>
        <w:t>但不限于</w:t>
      </w:r>
      <w:r>
        <w:rPr>
          <w:rFonts w:hint="eastAsia" w:ascii="仿宋_GB2312" w:hAnsi="仿宋_GB2312" w:eastAsia="仿宋_GB2312" w:cs="仿宋_GB2312"/>
          <w:b w:val="0"/>
          <w:bCs w:val="0"/>
          <w:sz w:val="28"/>
          <w:szCs w:val="28"/>
          <w:highlight w:val="none"/>
          <w:lang w:val="en-US" w:eastAsia="zh-CN"/>
        </w:rPr>
        <w:t>人工费</w:t>
      </w:r>
      <w:r>
        <w:rPr>
          <w:rFonts w:hint="eastAsia" w:ascii="仿宋_GB2312" w:hAnsi="仿宋_GB2312" w:eastAsia="仿宋_GB2312" w:cs="仿宋_GB2312"/>
          <w:b w:val="0"/>
          <w:bCs w:val="0"/>
          <w:sz w:val="28"/>
          <w:szCs w:val="28"/>
          <w:highlight w:val="none"/>
        </w:rPr>
        <w:t>、</w:t>
      </w:r>
      <w:r>
        <w:rPr>
          <w:rFonts w:hint="eastAsia" w:ascii="仿宋_GB2312" w:hAnsi="仿宋_GB2312" w:eastAsia="仿宋_GB2312" w:cs="仿宋_GB2312"/>
          <w:b w:val="0"/>
          <w:bCs w:val="0"/>
          <w:sz w:val="28"/>
          <w:szCs w:val="28"/>
          <w:highlight w:val="none"/>
          <w:lang w:val="en-US" w:eastAsia="zh-CN"/>
        </w:rPr>
        <w:t>监测费</w:t>
      </w:r>
      <w:r>
        <w:rPr>
          <w:rFonts w:hint="eastAsia" w:ascii="仿宋_GB2312" w:hAnsi="仿宋_GB2312" w:eastAsia="仿宋_GB2312" w:cs="仿宋_GB2312"/>
          <w:b w:val="0"/>
          <w:bCs w:val="0"/>
          <w:sz w:val="28"/>
          <w:szCs w:val="28"/>
          <w:highlight w:val="none"/>
          <w:lang w:eastAsia="zh-CN"/>
        </w:rPr>
        <w:t>、</w:t>
      </w:r>
      <w:r>
        <w:rPr>
          <w:rFonts w:hint="eastAsia" w:ascii="仿宋_GB2312" w:hAnsi="仿宋_GB2312" w:eastAsia="仿宋_GB2312" w:cs="仿宋_GB2312"/>
          <w:b w:val="0"/>
          <w:bCs w:val="0"/>
          <w:sz w:val="28"/>
          <w:szCs w:val="28"/>
          <w:highlight w:val="none"/>
          <w:lang w:val="en-US" w:eastAsia="zh-CN"/>
        </w:rPr>
        <w:t>交通</w:t>
      </w:r>
      <w:r>
        <w:rPr>
          <w:rFonts w:hint="eastAsia" w:ascii="仿宋_GB2312" w:hAnsi="仿宋_GB2312" w:eastAsia="仿宋_GB2312" w:cs="仿宋_GB2312"/>
          <w:b w:val="0"/>
          <w:bCs w:val="0"/>
          <w:sz w:val="28"/>
          <w:szCs w:val="28"/>
          <w:highlight w:val="none"/>
          <w:lang w:eastAsia="zh-CN"/>
        </w:rPr>
        <w:t>费、</w:t>
      </w:r>
      <w:r>
        <w:rPr>
          <w:rFonts w:hint="eastAsia" w:ascii="仿宋_GB2312" w:hAnsi="仿宋_GB2312" w:eastAsia="仿宋_GB2312" w:cs="仿宋_GB2312"/>
          <w:b w:val="0"/>
          <w:bCs w:val="0"/>
          <w:sz w:val="28"/>
          <w:szCs w:val="28"/>
          <w:highlight w:val="none"/>
          <w:lang w:val="en-US" w:eastAsia="zh-CN"/>
        </w:rPr>
        <w:t>住宿费</w:t>
      </w:r>
      <w:r>
        <w:rPr>
          <w:rFonts w:hint="eastAsia" w:ascii="仿宋_GB2312" w:hAnsi="仿宋_GB2312" w:eastAsia="仿宋_GB2312" w:cs="仿宋_GB2312"/>
          <w:bCs/>
          <w:sz w:val="28"/>
          <w:szCs w:val="28"/>
          <w:highlight w:val="none"/>
        </w:rPr>
        <w:t>、税金等一切相关费用，</w:t>
      </w:r>
      <w:r>
        <w:rPr>
          <w:rFonts w:hint="eastAsia" w:ascii="仿宋_GB2312" w:hAnsi="仿宋_GB2312" w:eastAsia="仿宋_GB2312" w:cs="仿宋_GB2312"/>
          <w:sz w:val="28"/>
          <w:szCs w:val="28"/>
          <w:highlight w:val="none"/>
        </w:rPr>
        <w:t>服务期内甲方不再增加任何费用</w:t>
      </w:r>
      <w:r>
        <w:rPr>
          <w:rFonts w:hint="eastAsia" w:ascii="仿宋_GB2312" w:hAnsi="仿宋_GB2312" w:eastAsia="仿宋_GB2312" w:cs="仿宋_GB2312"/>
          <w:color w:val="auto"/>
          <w:sz w:val="28"/>
          <w:szCs w:val="28"/>
          <w:highlight w:val="none"/>
          <w:lang w:val="en-US" w:eastAsia="zh-CN"/>
        </w:rPr>
        <w:t>。</w:t>
      </w:r>
    </w:p>
    <w:p w14:paraId="28BE97B0">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_GB2312" w:eastAsia="仿宋_GB2312" w:cs="仿宋_GB2312"/>
          <w:sz w:val="28"/>
          <w:szCs w:val="28"/>
          <w:highlight w:val="none"/>
        </w:rPr>
        <w:t>（三）合同总价一次性包死，不受市场价格变化因素的影响</w:t>
      </w:r>
      <w:r>
        <w:rPr>
          <w:rFonts w:hint="eastAsia" w:ascii="仿宋_GB2312" w:hAnsi="仿宋" w:eastAsia="仿宋_GB2312"/>
          <w:bCs/>
          <w:sz w:val="28"/>
          <w:szCs w:val="28"/>
          <w:lang w:val="zh-CN"/>
        </w:rPr>
        <w:t>。</w:t>
      </w:r>
    </w:p>
    <w:p w14:paraId="77D466AC">
      <w:pPr>
        <w:autoSpaceDE w:val="0"/>
        <w:autoSpaceDN w:val="0"/>
        <w:adjustRightInd w:val="0"/>
        <w:snapToGrid w:val="0"/>
        <w:spacing w:line="360" w:lineRule="auto"/>
        <w:ind w:firstLine="562" w:firstLineChars="200"/>
        <w:rPr>
          <w:rFonts w:hint="eastAsia" w:ascii="仿宋_GB2312" w:hAnsi="仿宋" w:eastAsia="仿宋_GB2312"/>
          <w:b/>
          <w:bCs/>
          <w:sz w:val="28"/>
          <w:szCs w:val="28"/>
        </w:rPr>
      </w:pPr>
      <w:r>
        <w:rPr>
          <w:rFonts w:hint="eastAsia" w:ascii="仿宋_GB2312" w:hAnsi="仿宋" w:eastAsia="仿宋_GB2312"/>
          <w:b/>
          <w:bCs/>
          <w:sz w:val="28"/>
          <w:szCs w:val="28"/>
        </w:rPr>
        <w:t>三、款项结算</w:t>
      </w:r>
    </w:p>
    <w:p w14:paraId="4451B12A">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仿宋_GB2312" w:hAnsi="仿宋_GB2312" w:eastAsia="仿宋_GB2312" w:cs="仿宋_GB2312"/>
          <w:bCs/>
          <w:color w:val="auto"/>
          <w:sz w:val="28"/>
          <w:szCs w:val="28"/>
          <w:highlight w:val="yellow"/>
          <w:lang w:val="en-US" w:eastAsia="zh-CN"/>
        </w:rPr>
      </w:pPr>
      <w:r>
        <w:rPr>
          <w:rFonts w:hint="eastAsia" w:ascii="仿宋_GB2312" w:hAnsi="仿宋_GB2312" w:eastAsia="仿宋_GB2312" w:cs="仿宋_GB2312"/>
          <w:bCs/>
          <w:color w:val="auto"/>
          <w:sz w:val="28"/>
          <w:szCs w:val="28"/>
          <w:highlight w:val="none"/>
        </w:rPr>
        <w:t>（一）项款支</w:t>
      </w:r>
      <w:r>
        <w:rPr>
          <w:rFonts w:hint="eastAsia" w:ascii="仿宋_GB2312" w:hAnsi="仿宋_GB2312" w:eastAsia="仿宋_GB2312" w:cs="仿宋_GB2312"/>
          <w:sz w:val="28"/>
          <w:szCs w:val="28"/>
          <w:highlight w:val="none"/>
        </w:rPr>
        <w:t xml:space="preserve">付: </w:t>
      </w:r>
      <w:r>
        <w:rPr>
          <w:rFonts w:hint="eastAsia" w:ascii="仿宋_GB2312" w:hAnsi="仿宋_GB2312" w:eastAsia="仿宋_GB2312" w:cs="仿宋_GB2312"/>
          <w:sz w:val="28"/>
          <w:szCs w:val="28"/>
          <w:highlight w:val="none"/>
          <w:lang w:val="en-US" w:eastAsia="zh-CN"/>
        </w:rPr>
        <w:t>合同签订后，达到付款条件起30日内，支付合同总金额的40.00%。即</w:t>
      </w:r>
      <w:r>
        <w:rPr>
          <w:rFonts w:hint="eastAsia" w:ascii="仿宋_GB2312" w:hAnsi="仿宋_GB2312" w:eastAsia="仿宋_GB2312" w:cs="仿宋_GB2312"/>
          <w:sz w:val="28"/>
          <w:szCs w:val="28"/>
          <w:highlight w:val="none"/>
          <w:u w:val="single"/>
          <w:lang w:val="en-US" w:eastAsia="zh-CN"/>
        </w:rPr>
        <w:t>¥       元,大写：人民币   元</w:t>
      </w:r>
      <w:r>
        <w:rPr>
          <w:rFonts w:hint="eastAsia" w:ascii="仿宋_GB2312" w:hAnsi="仿宋_GB2312" w:eastAsia="仿宋_GB2312" w:cs="仿宋_GB2312"/>
          <w:sz w:val="28"/>
          <w:szCs w:val="28"/>
          <w:highlight w:val="none"/>
          <w:u w:val="none"/>
          <w:lang w:val="en-US" w:eastAsia="zh-CN"/>
        </w:rPr>
        <w:t>；完成合同约定的所有工作，并提交成果资料经验收合格后 ，达到付款条件起30日内，支付合同总金额的60.00%。</w:t>
      </w:r>
      <w:r>
        <w:rPr>
          <w:rFonts w:hint="eastAsia" w:ascii="仿宋_GB2312" w:hAnsi="仿宋_GB2312" w:eastAsia="仿宋_GB2312" w:cs="仿宋_GB2312"/>
          <w:sz w:val="28"/>
          <w:szCs w:val="28"/>
          <w:highlight w:val="none"/>
          <w:lang w:val="en-US" w:eastAsia="zh-CN"/>
        </w:rPr>
        <w:t>即</w:t>
      </w:r>
      <w:r>
        <w:rPr>
          <w:rFonts w:hint="eastAsia" w:ascii="仿宋_GB2312" w:hAnsi="仿宋_GB2312" w:eastAsia="仿宋_GB2312" w:cs="仿宋_GB2312"/>
          <w:sz w:val="28"/>
          <w:szCs w:val="28"/>
          <w:highlight w:val="none"/>
          <w:u w:val="single"/>
          <w:lang w:val="en-US" w:eastAsia="zh-CN"/>
        </w:rPr>
        <w:t>¥        元,大写：人民币    元</w:t>
      </w:r>
      <w:r>
        <w:rPr>
          <w:rFonts w:hint="eastAsia" w:ascii="仿宋_GB2312" w:hAnsi="仿宋_GB2312" w:eastAsia="仿宋_GB2312" w:cs="仿宋_GB2312"/>
          <w:sz w:val="28"/>
          <w:szCs w:val="28"/>
          <w:highlight w:val="none"/>
          <w:lang w:val="en-US" w:eastAsia="zh-CN"/>
        </w:rPr>
        <w:t>。</w:t>
      </w:r>
    </w:p>
    <w:p w14:paraId="2133DDE2">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（二）支付方式：银行转账。</w:t>
      </w:r>
    </w:p>
    <w:p w14:paraId="6B421B94">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（三）结算方式：乙方在接受付款前，</w:t>
      </w:r>
      <w:r>
        <w:rPr>
          <w:rFonts w:hint="eastAsia" w:ascii="仿宋_GB2312" w:hAnsi="仿宋_GB2312" w:eastAsia="仿宋_GB2312" w:cs="仿宋_GB2312"/>
          <w:sz w:val="28"/>
          <w:szCs w:val="28"/>
          <w:highlight w:val="none"/>
          <w:lang w:val="en-US" w:eastAsia="zh-CN"/>
        </w:rPr>
        <w:t>根据支付方式开具</w:t>
      </w:r>
      <w:r>
        <w:rPr>
          <w:rFonts w:hint="eastAsia" w:ascii="仿宋_GB2312" w:hAnsi="仿宋_GB2312" w:eastAsia="仿宋_GB2312" w:cs="仿宋_GB2312"/>
          <w:sz w:val="28"/>
          <w:szCs w:val="28"/>
          <w:highlight w:val="none"/>
        </w:rPr>
        <w:t>发票给甲方。</w:t>
      </w:r>
    </w:p>
    <w:p w14:paraId="3536953B">
      <w:pPr>
        <w:autoSpaceDE w:val="0"/>
        <w:autoSpaceDN w:val="0"/>
        <w:adjustRightInd w:val="0"/>
        <w:snapToGrid w:val="0"/>
        <w:spacing w:line="360" w:lineRule="auto"/>
        <w:ind w:firstLine="560" w:firstLineChars="200"/>
        <w:rPr>
          <w:rFonts w:hint="eastAsia" w:ascii="仿宋_GB2312" w:hAnsi="仿宋" w:eastAsia="仿宋_GB2312" w:cs="Times New Roman"/>
          <w:bCs/>
          <w:sz w:val="28"/>
          <w:szCs w:val="28"/>
          <w:highlight w:val="none"/>
          <w:lang w:eastAsia="zh-CN"/>
        </w:rPr>
      </w:pPr>
      <w:r>
        <w:rPr>
          <w:rFonts w:hint="eastAsia" w:ascii="仿宋_GB2312" w:hAnsi="仿宋_GB2312" w:eastAsia="仿宋_GB2312" w:cs="仿宋_GB2312"/>
          <w:bCs/>
          <w:sz w:val="28"/>
          <w:szCs w:val="28"/>
          <w:highlight w:val="none"/>
        </w:rPr>
        <w:t>（四）验收依据：合同文本</w:t>
      </w:r>
      <w:r>
        <w:rPr>
          <w:rFonts w:hint="eastAsia" w:ascii="仿宋_GB2312" w:hAnsi="仿宋_GB2312" w:eastAsia="仿宋_GB2312" w:cs="仿宋_GB2312"/>
          <w:bCs/>
          <w:sz w:val="28"/>
          <w:szCs w:val="28"/>
          <w:highlight w:val="none"/>
          <w:lang w:eastAsia="zh-CN"/>
        </w:rPr>
        <w:t>，磋商响应</w:t>
      </w:r>
      <w:r>
        <w:rPr>
          <w:rFonts w:hint="eastAsia" w:ascii="仿宋_GB2312" w:hAnsi="仿宋_GB2312" w:eastAsia="仿宋_GB2312" w:cs="仿宋_GB2312"/>
          <w:bCs/>
          <w:sz w:val="28"/>
          <w:szCs w:val="28"/>
          <w:highlight w:val="none"/>
        </w:rPr>
        <w:t>文件和其他与项目相关的资料；国家和行业制定的相应的标准和规范：验收清单（注明各成果资料的品名、数量）</w:t>
      </w:r>
      <w:r>
        <w:rPr>
          <w:rFonts w:hint="eastAsia" w:ascii="仿宋_GB2312" w:hAnsi="仿宋" w:eastAsia="仿宋_GB2312" w:cs="Times New Roman"/>
          <w:bCs/>
          <w:sz w:val="28"/>
          <w:szCs w:val="28"/>
          <w:highlight w:val="none"/>
          <w:lang w:eastAsia="zh-CN"/>
        </w:rPr>
        <w:t>。</w:t>
      </w:r>
    </w:p>
    <w:p w14:paraId="084F0548">
      <w:pPr>
        <w:autoSpaceDE w:val="0"/>
        <w:autoSpaceDN w:val="0"/>
        <w:adjustRightInd w:val="0"/>
        <w:snapToGrid w:val="0"/>
        <w:spacing w:line="360" w:lineRule="auto"/>
        <w:ind w:firstLine="562" w:firstLineChars="200"/>
        <w:rPr>
          <w:rFonts w:hint="eastAsia" w:ascii="仿宋_GB2312" w:hAnsi="仿宋" w:eastAsia="仿宋_GB2312"/>
          <w:b/>
          <w:bCs/>
          <w:sz w:val="28"/>
          <w:szCs w:val="28"/>
        </w:rPr>
      </w:pPr>
      <w:r>
        <w:rPr>
          <w:rFonts w:hint="eastAsia" w:ascii="仿宋_GB2312" w:hAnsi="仿宋" w:eastAsia="仿宋_GB2312"/>
          <w:b/>
          <w:bCs/>
          <w:sz w:val="28"/>
          <w:szCs w:val="28"/>
        </w:rPr>
        <w:t>四、服务地点及服务期</w:t>
      </w:r>
    </w:p>
    <w:p w14:paraId="7D0E9C72">
      <w:pPr>
        <w:autoSpaceDE w:val="0"/>
        <w:autoSpaceDN w:val="0"/>
        <w:adjustRightInd w:val="0"/>
        <w:snapToGrid w:val="0"/>
        <w:spacing w:line="360" w:lineRule="auto"/>
        <w:ind w:firstLine="560" w:firstLineChars="200"/>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（一）服务地点：</w:t>
      </w:r>
      <w:r>
        <w:rPr>
          <w:rFonts w:hint="eastAsia" w:ascii="仿宋_GB2312" w:hAnsi="仿宋_GB2312" w:eastAsia="仿宋_GB2312" w:cs="仿宋_GB2312"/>
          <w:b w:val="0"/>
          <w:bCs w:val="0"/>
          <w:sz w:val="28"/>
          <w:szCs w:val="28"/>
          <w:highlight w:val="none"/>
          <w:lang w:val="en-US" w:eastAsia="zh-CN"/>
        </w:rPr>
        <w:t>西安高新区范围内，具体以采购人指定地点为准</w:t>
      </w:r>
      <w:r>
        <w:rPr>
          <w:rFonts w:hint="eastAsia" w:ascii="仿宋_GB2312" w:hAnsi="仿宋" w:eastAsia="仿宋_GB2312"/>
          <w:bCs/>
          <w:sz w:val="28"/>
          <w:szCs w:val="28"/>
          <w:highlight w:val="none"/>
        </w:rPr>
        <w:t>。</w:t>
      </w:r>
    </w:p>
    <w:p w14:paraId="7A66F3E1">
      <w:pPr>
        <w:autoSpaceDE w:val="0"/>
        <w:autoSpaceDN w:val="0"/>
        <w:adjustRightInd w:val="0"/>
        <w:snapToGrid w:val="0"/>
        <w:spacing w:line="360" w:lineRule="auto"/>
        <w:ind w:firstLine="560" w:firstLineChars="200"/>
        <w:rPr>
          <w:rFonts w:hint="eastAsia"/>
          <w:highlight w:val="none"/>
        </w:rPr>
      </w:pPr>
      <w:r>
        <w:rPr>
          <w:rFonts w:hint="eastAsia" w:ascii="仿宋_GB2312" w:hAnsi="仿宋" w:eastAsia="仿宋_GB2312"/>
          <w:bCs/>
          <w:sz w:val="28"/>
          <w:szCs w:val="28"/>
          <w:highlight w:val="none"/>
        </w:rPr>
        <w:t>（二）服务期：</w:t>
      </w:r>
      <w:r>
        <w:rPr>
          <w:rFonts w:hint="eastAsia" w:ascii="仿宋_GB2312" w:hAnsi="仿宋" w:eastAsia="仿宋_GB2312"/>
          <w:bCs/>
          <w:sz w:val="28"/>
          <w:szCs w:val="28"/>
          <w:highlight w:val="none"/>
          <w:lang w:eastAsia="zh-CN"/>
        </w:rPr>
        <w:t>自合同签订之日起</w:t>
      </w:r>
      <w:r>
        <w:rPr>
          <w:rFonts w:hint="eastAsia" w:ascii="仿宋_GB2312" w:hAnsi="仿宋" w:eastAsia="仿宋_GB2312"/>
          <w:bCs/>
          <w:sz w:val="28"/>
          <w:szCs w:val="28"/>
          <w:highlight w:val="none"/>
          <w:lang w:val="en-US" w:eastAsia="zh-CN"/>
        </w:rPr>
        <w:t>1</w:t>
      </w:r>
      <w:r>
        <w:rPr>
          <w:rFonts w:hint="eastAsia" w:ascii="仿宋_GB2312" w:hAnsi="仿宋" w:eastAsia="仿宋_GB2312"/>
          <w:bCs/>
          <w:sz w:val="28"/>
          <w:szCs w:val="28"/>
          <w:highlight w:val="none"/>
          <w:lang w:eastAsia="zh-CN"/>
        </w:rPr>
        <w:t>年</w:t>
      </w:r>
      <w:r>
        <w:rPr>
          <w:rFonts w:hint="eastAsia" w:ascii="仿宋_GB2312" w:hAnsi="仿宋_GB2312" w:eastAsia="仿宋_GB2312" w:cs="仿宋_GB2312"/>
          <w:sz w:val="28"/>
          <w:szCs w:val="28"/>
          <w:highlight w:val="none"/>
          <w:lang w:val="en-US" w:eastAsia="zh-CN"/>
        </w:rPr>
        <w:t>。</w:t>
      </w:r>
    </w:p>
    <w:p w14:paraId="37147200">
      <w:pPr>
        <w:autoSpaceDE w:val="0"/>
        <w:autoSpaceDN w:val="0"/>
        <w:adjustRightInd w:val="0"/>
        <w:snapToGrid w:val="0"/>
        <w:spacing w:line="360" w:lineRule="auto"/>
        <w:ind w:firstLine="562" w:firstLineChars="200"/>
        <w:rPr>
          <w:rFonts w:hint="eastAsia" w:ascii="仿宋_GB2312" w:hAnsi="仿宋" w:eastAsia="仿宋_GB2312"/>
          <w:b/>
          <w:bCs/>
          <w:sz w:val="28"/>
          <w:szCs w:val="28"/>
        </w:rPr>
      </w:pPr>
      <w:r>
        <w:rPr>
          <w:rFonts w:hint="eastAsia" w:ascii="仿宋_GB2312" w:hAnsi="仿宋" w:eastAsia="仿宋_GB2312"/>
          <w:b/>
          <w:bCs/>
          <w:sz w:val="28"/>
          <w:szCs w:val="28"/>
        </w:rPr>
        <w:t>五、双方的权利和义务</w:t>
      </w:r>
    </w:p>
    <w:p w14:paraId="45F5CA1B">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（一）甲方的权利与义务</w:t>
      </w:r>
    </w:p>
    <w:p w14:paraId="05335803">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1、</w:t>
      </w:r>
      <w:r>
        <w:rPr>
          <w:rFonts w:hint="eastAsia" w:ascii="仿宋_GB2312" w:hAnsi="仿宋_GB2312" w:eastAsia="仿宋_GB2312" w:cs="仿宋_GB2312"/>
          <w:color w:val="auto"/>
          <w:sz w:val="28"/>
          <w:szCs w:val="28"/>
          <w:highlight w:val="none"/>
          <w:lang w:val="en-US" w:eastAsia="zh-CN"/>
        </w:rPr>
        <w:t>甲方负责配合本次项目服务工作；</w:t>
      </w:r>
    </w:p>
    <w:p w14:paraId="714F5B82">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lang w:val="en-US" w:eastAsia="zh-CN"/>
        </w:rPr>
        <w:t xml:space="preserve">2、甲方有权对乙方的项目实施情况进行检查和监督，对检查中发现的问题及时向乙方提出书面或口头改进意见，并要求乙方限期予以整改。对乙方不符合本项目要求规定，造成严重影响的行为进行处罚。 </w:t>
      </w:r>
    </w:p>
    <w:p w14:paraId="6762E3F3">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lang w:val="en-US" w:eastAsia="zh-CN"/>
        </w:rPr>
        <w:t>2、</w:t>
      </w:r>
      <w:r>
        <w:rPr>
          <w:rFonts w:hint="eastAsia" w:ascii="仿宋_GB2312" w:hAnsi="仿宋_GB2312" w:eastAsia="仿宋_GB2312" w:cs="仿宋_GB2312"/>
          <w:color w:val="auto"/>
          <w:sz w:val="28"/>
          <w:szCs w:val="28"/>
          <w:highlight w:val="none"/>
          <w:lang w:val="en-US" w:eastAsia="zh-CN"/>
        </w:rPr>
        <w:t>甲方应按本合同的约定向乙方支付合同价款</w:t>
      </w:r>
      <w:r>
        <w:rPr>
          <w:rFonts w:hint="eastAsia" w:ascii="仿宋_GB2312" w:hAnsi="仿宋_GB2312" w:eastAsia="仿宋_GB2312" w:cs="仿宋_GB2312"/>
          <w:sz w:val="28"/>
          <w:szCs w:val="28"/>
          <w:highlight w:val="none"/>
          <w:lang w:val="en-US" w:eastAsia="zh-CN"/>
        </w:rPr>
        <w:t xml:space="preserve">。 </w:t>
      </w:r>
    </w:p>
    <w:p w14:paraId="71646570">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lang w:val="en-US" w:eastAsia="zh-CN"/>
        </w:rPr>
        <w:t xml:space="preserve">3、甲方可要求乙方调整不合格的服务人员，并于5日内调整到位。 </w:t>
      </w:r>
    </w:p>
    <w:p w14:paraId="1CA1D18D">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lang w:val="en-US" w:eastAsia="zh-CN"/>
        </w:rPr>
        <w:t xml:space="preserve">4、双方可根据政策的变动并结合实际情况对合同项目内容进行修改和补充，对项目内容的修改和补充双方以书面补充协议形式做出。 </w:t>
      </w:r>
    </w:p>
    <w:p w14:paraId="733F2095">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_GB2312" w:eastAsia="仿宋_GB2312" w:cs="仿宋_GB2312"/>
          <w:sz w:val="28"/>
          <w:szCs w:val="28"/>
          <w:highlight w:val="none"/>
          <w:lang w:val="en-US" w:eastAsia="zh-CN"/>
        </w:rPr>
        <w:t>5、甲方</w:t>
      </w:r>
      <w:r>
        <w:rPr>
          <w:rFonts w:hint="eastAsia" w:ascii="仿宋_GB2312" w:hAnsi="仿宋_GB2312" w:eastAsia="仿宋_GB2312" w:cs="仿宋_GB2312"/>
          <w:color w:val="auto"/>
          <w:sz w:val="28"/>
          <w:szCs w:val="28"/>
          <w:highlight w:val="none"/>
          <w:lang w:val="en-US" w:eastAsia="zh-CN"/>
        </w:rPr>
        <w:t>组织对乙方形成的相关成果资料审核、评审，</w:t>
      </w:r>
      <w:r>
        <w:rPr>
          <w:rFonts w:hint="eastAsia" w:ascii="仿宋_GB2312" w:hAnsi="仿宋_GB2312" w:eastAsia="仿宋_GB2312" w:cs="仿宋_GB2312"/>
          <w:sz w:val="28"/>
          <w:szCs w:val="28"/>
          <w:highlight w:val="none"/>
          <w:lang w:val="en-US" w:eastAsia="zh-CN"/>
        </w:rPr>
        <w:t>有权调阅乙方关于该项目的全部工作资料，并对本项目的检查和研究成果拥有所有权</w:t>
      </w:r>
      <w:r>
        <w:rPr>
          <w:rFonts w:hint="eastAsia" w:ascii="仿宋_GB2312" w:hAnsi="仿宋" w:eastAsia="仿宋_GB2312"/>
          <w:bCs/>
          <w:sz w:val="28"/>
          <w:szCs w:val="28"/>
        </w:rPr>
        <w:t>。</w:t>
      </w:r>
    </w:p>
    <w:p w14:paraId="27369944">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（二）乙方的权利与义务</w:t>
      </w:r>
    </w:p>
    <w:p w14:paraId="7EC31B4C">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lang w:val="en-US" w:eastAsia="zh-CN"/>
        </w:rPr>
        <w:t xml:space="preserve">1、乙方应按照国家服务规范、标准、规程和甲方的采购需求和服务要求进行工作，根据甲方要求按时提交质量合格的服务成果，满足甲方需求。 </w:t>
      </w:r>
    </w:p>
    <w:p w14:paraId="0D7BE654">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lang w:val="en-US" w:eastAsia="zh-CN"/>
        </w:rPr>
        <w:t>2、</w:t>
      </w:r>
      <w:r>
        <w:rPr>
          <w:rFonts w:hint="eastAsia" w:ascii="仿宋_GB2312" w:hAnsi="仿宋_GB2312" w:eastAsia="仿宋_GB2312" w:cs="仿宋_GB2312"/>
          <w:color w:val="auto"/>
          <w:sz w:val="28"/>
          <w:szCs w:val="28"/>
          <w:highlight w:val="none"/>
          <w:lang w:val="en-US" w:eastAsia="zh-CN"/>
        </w:rPr>
        <w:t>乙方的工作人员必须严格遵守甲方的规章制度，以良好的形象和积极的工作态度，按甲方要求开展工作</w:t>
      </w:r>
      <w:r>
        <w:rPr>
          <w:rFonts w:hint="eastAsia" w:ascii="仿宋_GB2312" w:hAnsi="仿宋_GB2312" w:eastAsia="仿宋_GB2312" w:cs="仿宋_GB2312"/>
          <w:sz w:val="28"/>
          <w:szCs w:val="28"/>
          <w:highlight w:val="none"/>
          <w:lang w:val="en-US" w:eastAsia="zh-CN"/>
        </w:rPr>
        <w:t xml:space="preserve">。 </w:t>
      </w:r>
    </w:p>
    <w:p w14:paraId="6F10855B">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lang w:val="en-US" w:eastAsia="zh-CN"/>
        </w:rPr>
        <w:t xml:space="preserve">3、乙方应接受甲方的检查监督及指导，完成甲方依合同约定交办的各项工作任务。 </w:t>
      </w:r>
    </w:p>
    <w:p w14:paraId="0A3825DD">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lang w:val="en-US" w:eastAsia="zh-CN"/>
        </w:rPr>
        <w:t xml:space="preserve">4、按合同约定要求开展工作，如有改变，乙方应提出书面申请，并征得甲方的书面同意。 </w:t>
      </w:r>
    </w:p>
    <w:p w14:paraId="166C03BE">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lang w:val="en-US" w:eastAsia="zh-CN"/>
        </w:rPr>
        <w:t xml:space="preserve">5、乙方负责检查人员的管理，确保人员足额到位、并且具备足够的能力以满足岗位需要。乙方应在签订合同后5日内，按照响应文件的承诺，完成组建足额检查队员上岗。乙方对所人员负责，对人员进行车辆行驶、现场检查、检查工具使用等安全教育，人员管理中出现的一切问题与甲方无关。 </w:t>
      </w:r>
    </w:p>
    <w:p w14:paraId="06E80FA4">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lang w:val="en-US" w:eastAsia="zh-CN"/>
        </w:rPr>
        <w:t xml:space="preserve">6、乙方应向甲方提供工作人员名单，并保证检查人员的相对稳定。同时乙方应为本项目设置固定项目管理团队，并保证团队骨干的稳定性。 </w:t>
      </w:r>
    </w:p>
    <w:p w14:paraId="3E409D20">
      <w:pPr>
        <w:autoSpaceDE w:val="0"/>
        <w:autoSpaceDN w:val="0"/>
        <w:adjustRightInd w:val="0"/>
        <w:snapToGrid w:val="0"/>
        <w:spacing w:line="360" w:lineRule="auto"/>
        <w:ind w:firstLine="560" w:firstLineChars="200"/>
        <w:rPr>
          <w:rFonts w:hint="default" w:ascii="仿宋_GB2312" w:hAnsi="仿宋" w:eastAsia="仿宋_GB2312"/>
          <w:bCs/>
          <w:sz w:val="28"/>
          <w:szCs w:val="28"/>
          <w:lang w:val="en-US" w:eastAsia="zh-CN"/>
        </w:rPr>
      </w:pPr>
      <w:r>
        <w:rPr>
          <w:rFonts w:hint="eastAsia" w:ascii="仿宋_GB2312" w:hAnsi="仿宋_GB2312" w:eastAsia="仿宋_GB2312" w:cs="仿宋_GB2312"/>
          <w:sz w:val="28"/>
          <w:szCs w:val="28"/>
          <w:highlight w:val="none"/>
          <w:lang w:val="en-US" w:eastAsia="zh-CN"/>
        </w:rPr>
        <w:t>7、在现场的乙方工作人员，应遵守甲方或管理单位的安全保卫及其他有关的规章制度，承担其有关资料保密义务。对于不称职或不合适服务岗位的乙方工作人员，甲方有权要求乙方立即更换</w:t>
      </w:r>
      <w:r>
        <w:rPr>
          <w:rFonts w:hint="eastAsia" w:ascii="仿宋_GB2312" w:hAnsi="仿宋" w:eastAsia="仿宋_GB2312"/>
          <w:bCs/>
          <w:sz w:val="28"/>
          <w:szCs w:val="28"/>
          <w:lang w:val="en-US" w:eastAsia="zh-CN"/>
        </w:rPr>
        <w:t>。</w:t>
      </w:r>
    </w:p>
    <w:p w14:paraId="769ADA7F">
      <w:pPr>
        <w:keepNext w:val="0"/>
        <w:keepLines w:val="0"/>
        <w:pageBreakBefore w:val="0"/>
        <w:widowControl w:val="0"/>
        <w:kinsoku/>
        <w:wordWrap/>
        <w:overflowPunct/>
        <w:topLinePunct w:val="0"/>
        <w:autoSpaceDE/>
        <w:autoSpaceDN/>
        <w:bidi w:val="0"/>
        <w:snapToGrid w:val="0"/>
        <w:spacing w:line="360" w:lineRule="auto"/>
        <w:ind w:firstLine="562" w:firstLineChars="200"/>
        <w:textAlignment w:val="auto"/>
        <w:rPr>
          <w:rFonts w:hint="eastAsia" w:ascii="仿宋_GB2312" w:hAnsi="仿宋_GB2312" w:eastAsia="仿宋_GB2312" w:cs="仿宋_GB2312"/>
          <w:b/>
          <w:bCs/>
          <w:color w:val="auto"/>
          <w:sz w:val="28"/>
          <w:szCs w:val="28"/>
          <w:highlight w:val="none"/>
          <w:lang w:val="en-US" w:eastAsia="zh-CN"/>
        </w:rPr>
      </w:pPr>
      <w:r>
        <w:rPr>
          <w:rFonts w:hint="eastAsia" w:ascii="仿宋_GB2312" w:hAnsi="仿宋" w:eastAsia="仿宋_GB2312"/>
          <w:b/>
          <w:bCs/>
          <w:sz w:val="28"/>
          <w:szCs w:val="28"/>
          <w:lang w:eastAsia="zh-CN"/>
        </w:rPr>
        <w:t>七</w:t>
      </w:r>
      <w:r>
        <w:rPr>
          <w:rFonts w:hint="eastAsia" w:ascii="仿宋_GB2312" w:hAnsi="仿宋" w:eastAsia="仿宋_GB2312"/>
          <w:b/>
          <w:bCs/>
          <w:sz w:val="28"/>
          <w:szCs w:val="28"/>
        </w:rPr>
        <w:t>、</w:t>
      </w:r>
      <w:r>
        <w:rPr>
          <w:rFonts w:hint="eastAsia" w:ascii="仿宋_GB2312" w:hAnsi="仿宋_GB2312" w:eastAsia="仿宋_GB2312" w:cs="仿宋_GB2312"/>
          <w:b/>
          <w:bCs/>
          <w:color w:val="auto"/>
          <w:sz w:val="28"/>
          <w:szCs w:val="28"/>
          <w:highlight w:val="none"/>
          <w:lang w:val="en-US" w:eastAsia="zh-CN"/>
        </w:rPr>
        <w:t>成果的归属</w:t>
      </w:r>
    </w:p>
    <w:p w14:paraId="1D02A9D2">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 xml:space="preserve">（一）开展该项工作的全部原始资料、中间过渡及最终成果所有权属于甲方。未经甲方书面授权许可，乙方不得擅自将原始资料、中间过渡和最终成果复制自留或提供给其他任何单位和个人使用，为自己或其他任何单位和个人谋取利益。 </w:t>
      </w:r>
    </w:p>
    <w:p w14:paraId="2FDB8BAB">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（二）本次成果所有权、使用权和著作权均属于甲方。乙方应确保提供服务过程中不会侵犯任何第三方的知识产权，否则承担由此产生的一切法律和经济责任。</w:t>
      </w:r>
    </w:p>
    <w:p w14:paraId="13F9F4BC">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 xml:space="preserve">（三）本项目作业过程中的所有资料或数据均属甲方，乙方不得以任何借口留存相关数据，且不得在合同规定之外自行处置数据，即不得自行删除、复制、修改、转移数据，同时不得以任何形式向第三方提供。 </w:t>
      </w:r>
    </w:p>
    <w:p w14:paraId="3953CABD">
      <w:pPr>
        <w:autoSpaceDE w:val="0"/>
        <w:autoSpaceDN w:val="0"/>
        <w:adjustRightInd w:val="0"/>
        <w:snapToGrid w:val="0"/>
        <w:spacing w:line="360" w:lineRule="auto"/>
        <w:ind w:firstLine="560" w:firstLineChars="200"/>
        <w:rPr>
          <w:rFonts w:hint="eastAsia" w:ascii="仿宋_GB2312" w:hAnsi="仿宋" w:eastAsia="仿宋_GB2312"/>
          <w:b/>
          <w:bCs/>
          <w:sz w:val="28"/>
          <w:szCs w:val="28"/>
        </w:rPr>
      </w:pPr>
      <w:r>
        <w:rPr>
          <w:rFonts w:hint="eastAsia" w:ascii="仿宋_GB2312" w:hAnsi="仿宋_GB2312" w:eastAsia="仿宋_GB2312" w:cs="仿宋_GB2312"/>
          <w:color w:val="auto"/>
          <w:sz w:val="28"/>
          <w:szCs w:val="28"/>
          <w:highlight w:val="none"/>
          <w:lang w:val="en-US" w:eastAsia="zh-CN"/>
        </w:rPr>
        <w:t>（四）未经甲方允许，任何单位和个人不得转让和使用本项目的测绘成果。</w:t>
      </w:r>
    </w:p>
    <w:p w14:paraId="61AFC00E">
      <w:pPr>
        <w:autoSpaceDE w:val="0"/>
        <w:autoSpaceDN w:val="0"/>
        <w:adjustRightInd w:val="0"/>
        <w:snapToGrid w:val="0"/>
        <w:spacing w:line="360" w:lineRule="auto"/>
        <w:ind w:firstLine="562" w:firstLineChars="200"/>
        <w:rPr>
          <w:rFonts w:hint="eastAsia" w:ascii="仿宋_GB2312" w:hAnsi="仿宋" w:eastAsia="仿宋_GB2312"/>
          <w:b/>
          <w:bCs/>
          <w:sz w:val="28"/>
          <w:szCs w:val="28"/>
        </w:rPr>
      </w:pPr>
      <w:r>
        <w:rPr>
          <w:rFonts w:hint="eastAsia" w:ascii="仿宋_GB2312" w:hAnsi="仿宋" w:eastAsia="仿宋_GB2312"/>
          <w:b/>
          <w:sz w:val="28"/>
          <w:szCs w:val="28"/>
          <w:lang w:val="en-US" w:eastAsia="zh-CN"/>
        </w:rPr>
        <w:t>八</w:t>
      </w:r>
      <w:r>
        <w:rPr>
          <w:rFonts w:hint="eastAsia" w:ascii="仿宋_GB2312" w:hAnsi="仿宋" w:eastAsia="仿宋_GB2312"/>
          <w:b/>
          <w:sz w:val="28"/>
          <w:szCs w:val="28"/>
        </w:rPr>
        <w:t>、</w:t>
      </w:r>
      <w:r>
        <w:rPr>
          <w:rFonts w:hint="eastAsia" w:ascii="仿宋_GB2312" w:hAnsi="仿宋" w:eastAsia="仿宋_GB2312"/>
          <w:b/>
          <w:bCs/>
          <w:sz w:val="28"/>
          <w:szCs w:val="28"/>
        </w:rPr>
        <w:t>服务质量保证</w:t>
      </w:r>
    </w:p>
    <w:p w14:paraId="3517A63D">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（一）乙方需建立高效的管理团队，项目团队组成合理。</w:t>
      </w:r>
    </w:p>
    <w:p w14:paraId="5B43B4BD">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（二）乙方需派一名项目经理，直接与甲方沟通，项目经理接收甲方提出的问题与要求，并及时反馈给工作组，解决在项目实施过程中遇到的问题。</w:t>
      </w:r>
    </w:p>
    <w:p w14:paraId="631B2D6C">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（三）项目在实施过程中会出现不可预料的需求变更</w:t>
      </w:r>
      <w:r>
        <w:rPr>
          <w:rFonts w:hint="eastAsia" w:ascii="仿宋_GB2312" w:hAnsi="仿宋" w:eastAsia="仿宋_GB2312"/>
          <w:bCs/>
          <w:sz w:val="28"/>
          <w:szCs w:val="28"/>
          <w:lang w:eastAsia="zh-CN"/>
        </w:rPr>
        <w:t>、</w:t>
      </w:r>
      <w:r>
        <w:rPr>
          <w:rFonts w:hint="eastAsia" w:ascii="仿宋_GB2312" w:hAnsi="仿宋" w:eastAsia="仿宋_GB2312"/>
          <w:bCs/>
          <w:sz w:val="28"/>
          <w:szCs w:val="28"/>
          <w:lang w:val="en-US" w:eastAsia="zh-CN"/>
        </w:rPr>
        <w:t>需求细化</w:t>
      </w:r>
      <w:r>
        <w:rPr>
          <w:rFonts w:hint="eastAsia" w:ascii="仿宋_GB2312" w:hAnsi="仿宋" w:eastAsia="仿宋_GB2312"/>
          <w:bCs/>
          <w:sz w:val="28"/>
          <w:szCs w:val="28"/>
        </w:rPr>
        <w:t>，乙方需积极配合甲方的需求变更</w:t>
      </w:r>
      <w:r>
        <w:rPr>
          <w:rFonts w:hint="eastAsia" w:ascii="仿宋_GB2312" w:hAnsi="仿宋" w:eastAsia="仿宋_GB2312"/>
          <w:bCs/>
          <w:sz w:val="28"/>
          <w:szCs w:val="28"/>
          <w:lang w:eastAsia="zh-CN"/>
        </w:rPr>
        <w:t>、</w:t>
      </w:r>
      <w:r>
        <w:rPr>
          <w:rFonts w:hint="eastAsia" w:ascii="仿宋_GB2312" w:hAnsi="仿宋" w:eastAsia="仿宋_GB2312"/>
          <w:bCs/>
          <w:sz w:val="28"/>
          <w:szCs w:val="28"/>
          <w:lang w:val="en-US" w:eastAsia="zh-CN"/>
        </w:rPr>
        <w:t>需求细化</w:t>
      </w:r>
      <w:r>
        <w:rPr>
          <w:rFonts w:hint="eastAsia" w:ascii="仿宋_GB2312" w:hAnsi="仿宋" w:eastAsia="仿宋_GB2312"/>
          <w:bCs/>
          <w:sz w:val="28"/>
          <w:szCs w:val="28"/>
        </w:rPr>
        <w:t>，并按照变更</w:t>
      </w:r>
      <w:r>
        <w:rPr>
          <w:rFonts w:hint="eastAsia" w:ascii="仿宋_GB2312" w:hAnsi="仿宋" w:eastAsia="仿宋_GB2312"/>
          <w:bCs/>
          <w:sz w:val="28"/>
          <w:szCs w:val="28"/>
          <w:lang w:eastAsia="zh-CN"/>
        </w:rPr>
        <w:t>、</w:t>
      </w:r>
      <w:r>
        <w:rPr>
          <w:rFonts w:hint="eastAsia" w:ascii="仿宋_GB2312" w:hAnsi="仿宋" w:eastAsia="仿宋_GB2312"/>
          <w:bCs/>
          <w:sz w:val="28"/>
          <w:szCs w:val="28"/>
          <w:lang w:val="en-US" w:eastAsia="zh-CN"/>
        </w:rPr>
        <w:t>细化</w:t>
      </w:r>
      <w:r>
        <w:rPr>
          <w:rFonts w:hint="eastAsia" w:ascii="仿宋_GB2312" w:hAnsi="仿宋" w:eastAsia="仿宋_GB2312"/>
          <w:bCs/>
          <w:sz w:val="28"/>
          <w:szCs w:val="28"/>
        </w:rPr>
        <w:t>后的需求继续实施。</w:t>
      </w:r>
    </w:p>
    <w:p w14:paraId="62716B55">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（四）乙方需设有详细的技术资料档案和服务档案以便于更好地提供服务</w:t>
      </w:r>
    </w:p>
    <w:p w14:paraId="104D79E1">
      <w:pPr>
        <w:spacing w:line="360" w:lineRule="auto"/>
        <w:ind w:firstLine="562" w:firstLineChars="200"/>
        <w:rPr>
          <w:rFonts w:hint="eastAsia" w:ascii="仿宋_GB2312" w:hAnsi="仿宋" w:eastAsia="仿宋_GB2312"/>
          <w:b/>
          <w:sz w:val="28"/>
          <w:szCs w:val="28"/>
          <w:lang w:val="en-US" w:eastAsia="zh-CN"/>
        </w:rPr>
      </w:pPr>
      <w:r>
        <w:rPr>
          <w:rFonts w:hint="eastAsia" w:ascii="仿宋_GB2312" w:hAnsi="仿宋" w:eastAsia="仿宋_GB2312"/>
          <w:b/>
          <w:sz w:val="28"/>
          <w:szCs w:val="28"/>
          <w:lang w:val="en-US" w:eastAsia="zh-CN"/>
        </w:rPr>
        <w:t>九</w:t>
      </w:r>
      <w:r>
        <w:rPr>
          <w:rFonts w:hint="eastAsia" w:ascii="仿宋_GB2312" w:hAnsi="仿宋" w:eastAsia="仿宋_GB2312"/>
          <w:b/>
          <w:sz w:val="28"/>
          <w:szCs w:val="28"/>
        </w:rPr>
        <w:t>、</w:t>
      </w:r>
      <w:r>
        <w:rPr>
          <w:rFonts w:hint="eastAsia" w:ascii="仿宋_GB2312" w:hAnsi="仿宋" w:eastAsia="仿宋_GB2312"/>
          <w:b/>
          <w:sz w:val="28"/>
          <w:szCs w:val="28"/>
          <w:lang w:val="en-US" w:eastAsia="zh-CN"/>
        </w:rPr>
        <w:t>验收</w:t>
      </w:r>
    </w:p>
    <w:p w14:paraId="580E7240">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（一）本项目验收费用，由乙方自行承担。</w:t>
      </w:r>
    </w:p>
    <w:p w14:paraId="2EA6F9EE">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（二）服务期满后，由乙方向甲方递交验收通知书，经甲方确认后，组织乙方进行系统验收。验收合格后，填写项目验收单作为对本次服务的最终认可。</w:t>
      </w:r>
    </w:p>
    <w:p w14:paraId="2647F21C">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（三）验收依据：</w:t>
      </w:r>
    </w:p>
    <w:p w14:paraId="1E0FF4BC">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1、本合同及附加文本；</w:t>
      </w:r>
    </w:p>
    <w:p w14:paraId="5F60DD2D">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2、</w:t>
      </w:r>
      <w:r>
        <w:rPr>
          <w:rFonts w:hint="eastAsia" w:ascii="仿宋_GB2312" w:hAnsi="仿宋_GB2312" w:eastAsia="仿宋_GB2312" w:cs="仿宋_GB2312"/>
          <w:bCs/>
          <w:sz w:val="28"/>
          <w:szCs w:val="28"/>
          <w:highlight w:val="none"/>
          <w:lang w:val="en-US" w:eastAsia="zh-CN"/>
        </w:rPr>
        <w:t>磋商</w:t>
      </w:r>
      <w:r>
        <w:rPr>
          <w:rFonts w:hint="eastAsia" w:ascii="仿宋_GB2312" w:hAnsi="仿宋_GB2312" w:eastAsia="仿宋_GB2312" w:cs="仿宋_GB2312"/>
          <w:bCs/>
          <w:sz w:val="28"/>
          <w:szCs w:val="28"/>
          <w:highlight w:val="none"/>
        </w:rPr>
        <w:t>文件、</w:t>
      </w:r>
      <w:r>
        <w:rPr>
          <w:rFonts w:hint="eastAsia" w:ascii="仿宋_GB2312" w:hAnsi="仿宋_GB2312" w:eastAsia="仿宋_GB2312" w:cs="仿宋_GB2312"/>
          <w:bCs/>
          <w:sz w:val="28"/>
          <w:szCs w:val="28"/>
          <w:highlight w:val="none"/>
          <w:lang w:val="en-US" w:eastAsia="zh-CN"/>
        </w:rPr>
        <w:t>成交供应商</w:t>
      </w:r>
      <w:r>
        <w:rPr>
          <w:rFonts w:hint="eastAsia" w:ascii="仿宋_GB2312" w:hAnsi="仿宋_GB2312" w:eastAsia="仿宋_GB2312" w:cs="仿宋_GB2312"/>
          <w:bCs/>
          <w:sz w:val="28"/>
          <w:szCs w:val="28"/>
          <w:highlight w:val="none"/>
        </w:rPr>
        <w:t>的</w:t>
      </w:r>
      <w:r>
        <w:rPr>
          <w:rFonts w:hint="eastAsia" w:ascii="仿宋_GB2312" w:hAnsi="仿宋_GB2312" w:eastAsia="仿宋_GB2312" w:cs="仿宋_GB2312"/>
          <w:bCs/>
          <w:sz w:val="28"/>
          <w:szCs w:val="28"/>
          <w:highlight w:val="none"/>
          <w:lang w:val="en-US" w:eastAsia="zh-CN"/>
        </w:rPr>
        <w:t>响应</w:t>
      </w:r>
      <w:r>
        <w:rPr>
          <w:rFonts w:hint="eastAsia" w:ascii="仿宋_GB2312" w:hAnsi="仿宋_GB2312" w:eastAsia="仿宋_GB2312" w:cs="仿宋_GB2312"/>
          <w:bCs/>
          <w:sz w:val="28"/>
          <w:szCs w:val="28"/>
          <w:highlight w:val="none"/>
        </w:rPr>
        <w:t>文件及澄清（承诺）函；</w:t>
      </w:r>
    </w:p>
    <w:p w14:paraId="34B8ADFE">
      <w:pPr>
        <w:spacing w:line="360" w:lineRule="auto"/>
        <w:ind w:firstLine="560" w:firstLineChars="200"/>
        <w:rPr>
          <w:rFonts w:hint="eastAsia" w:ascii="仿宋_GB2312" w:hAnsi="仿宋" w:eastAsia="仿宋_GB2312"/>
          <w:b/>
          <w:sz w:val="28"/>
          <w:szCs w:val="28"/>
          <w:lang w:eastAsia="zh-CN"/>
        </w:rPr>
      </w:pPr>
      <w:r>
        <w:rPr>
          <w:rFonts w:hint="eastAsia" w:ascii="仿宋_GB2312" w:hAnsi="仿宋_GB2312" w:eastAsia="仿宋_GB2312" w:cs="仿宋_GB2312"/>
          <w:bCs/>
          <w:sz w:val="28"/>
          <w:szCs w:val="28"/>
          <w:highlight w:val="none"/>
        </w:rPr>
        <w:t>3、国家相应的标准、规范</w:t>
      </w:r>
      <w:r>
        <w:rPr>
          <w:rFonts w:hint="eastAsia" w:ascii="仿宋_GB2312" w:hAnsi="仿宋_GB2312" w:eastAsia="仿宋_GB2312" w:cs="仿宋_GB2312"/>
          <w:bCs/>
          <w:sz w:val="28"/>
          <w:szCs w:val="28"/>
          <w:highlight w:val="none"/>
          <w:lang w:eastAsia="zh-CN"/>
        </w:rPr>
        <w:t>。</w:t>
      </w:r>
    </w:p>
    <w:p w14:paraId="03442BF4">
      <w:pPr>
        <w:keepNext w:val="0"/>
        <w:keepLines w:val="0"/>
        <w:pageBreakBefore w:val="0"/>
        <w:widowControl w:val="0"/>
        <w:kinsoku/>
        <w:wordWrap/>
        <w:overflowPunct/>
        <w:topLinePunct w:val="0"/>
        <w:autoSpaceDE/>
        <w:autoSpaceDN/>
        <w:bidi w:val="0"/>
        <w:snapToGrid w:val="0"/>
        <w:spacing w:line="360" w:lineRule="auto"/>
        <w:ind w:firstLine="562" w:firstLineChars="200"/>
        <w:textAlignment w:val="auto"/>
        <w:rPr>
          <w:rFonts w:hint="eastAsia" w:ascii="仿宋_GB2312" w:hAnsi="仿宋_GB2312" w:eastAsia="仿宋_GB2312" w:cs="仿宋_GB2312"/>
          <w:b/>
          <w:bCs/>
          <w:color w:val="auto"/>
          <w:sz w:val="28"/>
          <w:szCs w:val="28"/>
          <w:highlight w:val="none"/>
          <w:lang w:val="en-US" w:eastAsia="zh-CN"/>
        </w:rPr>
      </w:pPr>
      <w:r>
        <w:rPr>
          <w:rFonts w:hint="eastAsia" w:ascii="仿宋_GB2312" w:hAnsi="仿宋" w:eastAsia="仿宋_GB2312"/>
          <w:b/>
          <w:sz w:val="28"/>
          <w:szCs w:val="28"/>
          <w:lang w:val="en-US" w:eastAsia="zh-CN"/>
        </w:rPr>
        <w:t>十</w:t>
      </w:r>
      <w:r>
        <w:rPr>
          <w:rFonts w:hint="eastAsia" w:ascii="仿宋_GB2312" w:hAnsi="仿宋" w:eastAsia="仿宋_GB2312"/>
          <w:b/>
          <w:sz w:val="28"/>
          <w:szCs w:val="28"/>
        </w:rPr>
        <w:t>、</w:t>
      </w:r>
      <w:r>
        <w:rPr>
          <w:rFonts w:hint="eastAsia" w:ascii="仿宋_GB2312" w:hAnsi="仿宋_GB2312" w:eastAsia="仿宋_GB2312" w:cs="仿宋_GB2312"/>
          <w:b/>
          <w:bCs/>
          <w:color w:val="auto"/>
          <w:sz w:val="28"/>
          <w:szCs w:val="28"/>
          <w:highlight w:val="none"/>
          <w:lang w:val="en-US" w:eastAsia="zh-CN"/>
        </w:rPr>
        <w:t>保密制度</w:t>
      </w:r>
    </w:p>
    <w:p w14:paraId="26D6F9D1">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 xml:space="preserve">（一）乙方必须按国家有关保密法律法规的要求，采取有效的保密措施，严防甲方提供给乙方的成果和资料泄密。由于乙方原因造成成果资料泄密，一切责任乙方承担。 </w:t>
      </w:r>
    </w:p>
    <w:p w14:paraId="77A68F36">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（二）乙方不得利用甲方因执行本合同提供给乙方的成果和资料从事任何商业性活动。</w:t>
      </w:r>
    </w:p>
    <w:p w14:paraId="45CF32BA">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 xml:space="preserve">（三）乙方应妥善保管项目相关资料及成果文件，未经甲方许可，不得复制、转让（借）、公开或销毁。乙方应与项目组所有成员签订保密协议，并将保密协议报送甲方备案。 </w:t>
      </w:r>
    </w:p>
    <w:p w14:paraId="12EF3209">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 xml:space="preserve">（四）除法律规定或合同另有约定外，未经甲方同意，乙方不得将甲方提供的相关资料、数据和图件泄露给第三方。 </w:t>
      </w:r>
    </w:p>
    <w:p w14:paraId="4F3B55B9">
      <w:pPr>
        <w:keepNext w:val="0"/>
        <w:keepLines w:val="0"/>
        <w:pageBreakBefore w:val="0"/>
        <w:widowControl w:val="0"/>
        <w:kinsoku w:val="0"/>
        <w:wordWrap/>
        <w:overflowPunct/>
        <w:topLinePunct w:val="0"/>
        <w:autoSpaceDE w:val="0"/>
        <w:autoSpaceDN w:val="0"/>
        <w:bidi w:val="0"/>
        <w:adjustRightInd w:val="0"/>
        <w:snapToGrid w:val="0"/>
        <w:spacing w:line="360" w:lineRule="auto"/>
        <w:ind w:firstLine="560" w:firstLineChars="200"/>
        <w:textAlignment w:val="baseline"/>
        <w:rPr>
          <w:rFonts w:hint="eastAsia" w:ascii="仿宋_GB2312" w:eastAsia="仿宋_GB2312"/>
          <w:sz w:val="28"/>
          <w:szCs w:val="28"/>
        </w:rPr>
      </w:pPr>
      <w:r>
        <w:rPr>
          <w:rFonts w:hint="eastAsia" w:ascii="仿宋_GB2312" w:hAnsi="仿宋_GB2312" w:eastAsia="仿宋_GB2312" w:cs="仿宋_GB2312"/>
          <w:color w:val="auto"/>
          <w:sz w:val="28"/>
          <w:szCs w:val="28"/>
          <w:highlight w:val="none"/>
          <w:lang w:val="en-US" w:eastAsia="zh-CN"/>
        </w:rPr>
        <w:t>（五）本合同的解除或终止不免除乙方应承担的保密义务</w:t>
      </w:r>
      <w:r>
        <w:rPr>
          <w:rFonts w:hint="eastAsia" w:ascii="仿宋_GB2312" w:eastAsia="仿宋_GB2312"/>
          <w:sz w:val="28"/>
          <w:szCs w:val="28"/>
        </w:rPr>
        <w:t>。</w:t>
      </w:r>
    </w:p>
    <w:p w14:paraId="38545501">
      <w:pPr>
        <w:keepNext w:val="0"/>
        <w:keepLines w:val="0"/>
        <w:pageBreakBefore w:val="0"/>
        <w:widowControl w:val="0"/>
        <w:kinsoku/>
        <w:wordWrap w:val="0"/>
        <w:overflowPunct/>
        <w:topLinePunct w:val="0"/>
        <w:autoSpaceDE/>
        <w:autoSpaceDN/>
        <w:bidi w:val="0"/>
        <w:adjustRightInd/>
        <w:snapToGrid/>
        <w:spacing w:line="360" w:lineRule="auto"/>
        <w:ind w:firstLine="562" w:firstLineChars="200"/>
        <w:jc w:val="left"/>
        <w:textAlignment w:val="auto"/>
        <w:rPr>
          <w:rFonts w:hint="eastAsia" w:ascii="仿宋_GB2312" w:hAnsi="仿宋" w:eastAsia="仿宋_GB2312"/>
          <w:b/>
          <w:sz w:val="28"/>
          <w:szCs w:val="28"/>
        </w:rPr>
      </w:pPr>
      <w:r>
        <w:rPr>
          <w:rFonts w:hint="eastAsia" w:ascii="仿宋_GB2312" w:hAnsi="仿宋" w:eastAsia="仿宋_GB2312"/>
          <w:b/>
          <w:sz w:val="28"/>
          <w:szCs w:val="28"/>
          <w:lang w:val="en-US" w:eastAsia="zh-CN"/>
        </w:rPr>
        <w:t>十一</w:t>
      </w:r>
      <w:r>
        <w:rPr>
          <w:rFonts w:hint="eastAsia" w:ascii="仿宋_GB2312" w:hAnsi="仿宋" w:eastAsia="仿宋_GB2312"/>
          <w:b/>
          <w:sz w:val="28"/>
          <w:szCs w:val="28"/>
        </w:rPr>
        <w:t>、其他事项</w:t>
      </w:r>
    </w:p>
    <w:p w14:paraId="6D1547C8">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（一）乙方不得将项目转让、分包给其它单位或个人。</w:t>
      </w:r>
    </w:p>
    <w:p w14:paraId="35EA8143">
      <w:pPr>
        <w:spacing w:line="360" w:lineRule="auto"/>
        <w:ind w:firstLine="560" w:firstLineChars="200"/>
        <w:rPr>
          <w:rFonts w:hint="eastAsia" w:ascii="仿宋_GB2312" w:hAnsi="仿宋" w:eastAsia="仿宋_GB2312"/>
          <w:bCs/>
          <w:sz w:val="28"/>
          <w:szCs w:val="28"/>
        </w:rPr>
      </w:pPr>
      <w:r>
        <w:rPr>
          <w:rFonts w:hint="eastAsia" w:ascii="仿宋_GB2312" w:hAnsi="仿宋_GB2312" w:eastAsia="仿宋_GB2312" w:cs="仿宋_GB2312"/>
          <w:b w:val="0"/>
          <w:bCs/>
          <w:sz w:val="28"/>
          <w:szCs w:val="28"/>
          <w:highlight w:val="none"/>
        </w:rPr>
        <w:t>（二）乙方的磋商响应文件和承诺等内容将列入合同</w:t>
      </w:r>
      <w:r>
        <w:rPr>
          <w:rFonts w:hint="eastAsia" w:ascii="仿宋_GB2312" w:hAnsi="仿宋" w:eastAsia="仿宋_GB2312"/>
          <w:bCs/>
          <w:sz w:val="28"/>
          <w:szCs w:val="28"/>
        </w:rPr>
        <w:t>。</w:t>
      </w:r>
    </w:p>
    <w:p w14:paraId="60359183">
      <w:pPr>
        <w:autoSpaceDE w:val="0"/>
        <w:autoSpaceDN w:val="0"/>
        <w:adjustRightInd w:val="0"/>
        <w:snapToGrid w:val="0"/>
        <w:spacing w:line="360" w:lineRule="auto"/>
        <w:ind w:firstLine="562" w:firstLineChars="200"/>
        <w:rPr>
          <w:rFonts w:hint="eastAsia" w:ascii="仿宋_GB2312" w:hAnsi="仿宋" w:eastAsia="仿宋_GB2312"/>
          <w:b/>
          <w:sz w:val="28"/>
          <w:szCs w:val="28"/>
        </w:rPr>
      </w:pPr>
      <w:r>
        <w:rPr>
          <w:rFonts w:hint="eastAsia" w:ascii="仿宋_GB2312" w:hAnsi="仿宋" w:eastAsia="仿宋_GB2312"/>
          <w:b/>
          <w:sz w:val="28"/>
          <w:szCs w:val="28"/>
          <w:lang w:val="en-US" w:eastAsia="zh-CN"/>
        </w:rPr>
        <w:t>十二</w:t>
      </w:r>
      <w:r>
        <w:rPr>
          <w:rFonts w:hint="eastAsia" w:ascii="仿宋_GB2312" w:hAnsi="仿宋" w:eastAsia="仿宋_GB2312"/>
          <w:b/>
          <w:sz w:val="28"/>
          <w:szCs w:val="28"/>
        </w:rPr>
        <w:t>、违约责任</w:t>
      </w:r>
    </w:p>
    <w:p w14:paraId="6EE55E13">
      <w:pPr>
        <w:autoSpaceDE w:val="0"/>
        <w:autoSpaceDN w:val="0"/>
        <w:adjustRightInd w:val="0"/>
        <w:snapToGrid w:val="0"/>
        <w:spacing w:line="360" w:lineRule="auto"/>
        <w:ind w:firstLine="630"/>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（一）按《中华人民共和国民法典》中的相关条款执行。</w:t>
      </w:r>
    </w:p>
    <w:p w14:paraId="252ABA16">
      <w:pPr>
        <w:autoSpaceDE w:val="0"/>
        <w:autoSpaceDN w:val="0"/>
        <w:adjustRightInd w:val="0"/>
        <w:snapToGrid w:val="0"/>
        <w:spacing w:line="360" w:lineRule="auto"/>
        <w:ind w:firstLine="630"/>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（二）按合同要求提供服务或服务质量不能满足</w:t>
      </w:r>
      <w:r>
        <w:rPr>
          <w:rFonts w:hint="eastAsia" w:ascii="仿宋_GB2312" w:hAnsi="仿宋_GB2312" w:eastAsia="仿宋_GB2312" w:cs="仿宋_GB2312"/>
          <w:sz w:val="28"/>
          <w:szCs w:val="28"/>
          <w:highlight w:val="none"/>
        </w:rPr>
        <w:t>不能满足本次磋商要求</w:t>
      </w:r>
      <w:r>
        <w:rPr>
          <w:rFonts w:hint="eastAsia" w:ascii="仿宋_GB2312" w:hAnsi="仿宋_GB2312" w:eastAsia="仿宋_GB2312" w:cs="仿宋_GB2312"/>
          <w:bCs/>
          <w:sz w:val="28"/>
          <w:szCs w:val="28"/>
          <w:highlight w:val="none"/>
        </w:rPr>
        <w:t>，乙方必须无条件提高技术，完善服务质量，否则，甲方会同监督机构、采购代理机构有权终止合同并对乙方违约行为进行追究，同时按政府采购供应商管理办法进行相应的处罚。</w:t>
      </w:r>
    </w:p>
    <w:p w14:paraId="03D04294">
      <w:pPr>
        <w:autoSpaceDE w:val="0"/>
        <w:autoSpaceDN w:val="0"/>
        <w:adjustRightInd w:val="0"/>
        <w:snapToGrid w:val="0"/>
        <w:spacing w:line="360" w:lineRule="auto"/>
        <w:ind w:firstLine="560" w:firstLineChars="200"/>
        <w:rPr>
          <w:rFonts w:hint="eastAsia"/>
        </w:rPr>
      </w:pPr>
      <w:r>
        <w:rPr>
          <w:rFonts w:hint="eastAsia" w:ascii="仿宋_GB2312" w:hAnsi="仿宋_GB2312" w:eastAsia="仿宋_GB2312" w:cs="仿宋_GB2312"/>
          <w:bCs/>
          <w:sz w:val="28"/>
          <w:szCs w:val="28"/>
          <w:highlight w:val="none"/>
        </w:rPr>
        <w:t>（三）任何一方因不可抗力原因不能履行协议时，应尽快通知对方，双方均设法补偿。如仍无法履约协议，可协商延缓或撤销协议，双方责任免除</w:t>
      </w:r>
      <w:r>
        <w:rPr>
          <w:rFonts w:hint="eastAsia" w:ascii="仿宋_GB2312" w:hAnsi="仿宋" w:eastAsia="仿宋_GB2312"/>
          <w:bCs/>
          <w:sz w:val="28"/>
          <w:szCs w:val="28"/>
        </w:rPr>
        <w:t>。</w:t>
      </w:r>
    </w:p>
    <w:p w14:paraId="0D877690">
      <w:pPr>
        <w:autoSpaceDE w:val="0"/>
        <w:autoSpaceDN w:val="0"/>
        <w:adjustRightInd w:val="0"/>
        <w:snapToGrid w:val="0"/>
        <w:spacing w:line="360" w:lineRule="auto"/>
        <w:ind w:firstLine="562" w:firstLineChars="200"/>
        <w:rPr>
          <w:rFonts w:hint="eastAsia" w:ascii="仿宋_GB2312" w:hAnsi="仿宋" w:eastAsia="仿宋_GB2312"/>
          <w:b/>
          <w:sz w:val="28"/>
          <w:szCs w:val="28"/>
        </w:rPr>
      </w:pPr>
      <w:r>
        <w:rPr>
          <w:rFonts w:hint="eastAsia" w:ascii="仿宋_GB2312" w:hAnsi="仿宋" w:eastAsia="仿宋_GB2312"/>
          <w:b/>
          <w:sz w:val="28"/>
          <w:szCs w:val="28"/>
        </w:rPr>
        <w:t>十</w:t>
      </w:r>
      <w:r>
        <w:rPr>
          <w:rFonts w:hint="eastAsia" w:ascii="仿宋_GB2312" w:hAnsi="仿宋" w:eastAsia="仿宋_GB2312"/>
          <w:b/>
          <w:sz w:val="28"/>
          <w:szCs w:val="28"/>
          <w:lang w:val="en-US" w:eastAsia="zh-CN"/>
        </w:rPr>
        <w:t>三</w:t>
      </w:r>
      <w:r>
        <w:rPr>
          <w:rFonts w:hint="eastAsia" w:ascii="仿宋_GB2312" w:hAnsi="仿宋" w:eastAsia="仿宋_GB2312"/>
          <w:b/>
          <w:sz w:val="28"/>
          <w:szCs w:val="28"/>
        </w:rPr>
        <w:t>、合同争议解决的方式</w:t>
      </w:r>
    </w:p>
    <w:p w14:paraId="0690608A">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本合同在履行过程中发生的争议，由甲、乙双方当事人协商解决，协商不成的按下列第</w:t>
      </w:r>
      <w:r>
        <w:rPr>
          <w:rFonts w:hint="eastAsia" w:ascii="仿宋_GB2312" w:hAnsi="仿宋" w:eastAsia="仿宋_GB2312"/>
          <w:bCs/>
          <w:sz w:val="28"/>
          <w:szCs w:val="28"/>
          <w:u w:val="single"/>
        </w:rPr>
        <w:t>（二）</w:t>
      </w:r>
      <w:r>
        <w:rPr>
          <w:rFonts w:hint="eastAsia" w:ascii="仿宋_GB2312" w:hAnsi="仿宋" w:eastAsia="仿宋_GB2312"/>
          <w:bCs/>
          <w:sz w:val="28"/>
          <w:szCs w:val="28"/>
        </w:rPr>
        <w:t>种方式解决：</w:t>
      </w:r>
    </w:p>
    <w:p w14:paraId="1B05786B">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（一）提交西安仲裁委员会仲裁；</w:t>
      </w:r>
    </w:p>
    <w:p w14:paraId="783D5911">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（二）依法向甲方所在地人民法院起诉。</w:t>
      </w:r>
    </w:p>
    <w:p w14:paraId="5CA10DEF">
      <w:pPr>
        <w:autoSpaceDE w:val="0"/>
        <w:autoSpaceDN w:val="0"/>
        <w:adjustRightInd w:val="0"/>
        <w:snapToGrid w:val="0"/>
        <w:spacing w:line="360" w:lineRule="auto"/>
        <w:ind w:firstLine="562" w:firstLineChars="200"/>
        <w:rPr>
          <w:rFonts w:hint="eastAsia" w:ascii="仿宋_GB2312" w:hAnsi="仿宋" w:eastAsia="仿宋_GB2312"/>
          <w:b/>
          <w:sz w:val="28"/>
          <w:szCs w:val="28"/>
        </w:rPr>
      </w:pPr>
      <w:r>
        <w:rPr>
          <w:rFonts w:hint="eastAsia" w:ascii="仿宋_GB2312" w:hAnsi="仿宋" w:eastAsia="仿宋_GB2312"/>
          <w:b/>
          <w:sz w:val="28"/>
          <w:szCs w:val="28"/>
          <w:lang w:val="en-US" w:eastAsia="zh-CN"/>
        </w:rPr>
        <w:t>十四、</w:t>
      </w:r>
      <w:r>
        <w:rPr>
          <w:rFonts w:hint="eastAsia" w:ascii="仿宋_GB2312" w:hAnsi="仿宋" w:eastAsia="仿宋_GB2312"/>
          <w:b/>
          <w:sz w:val="28"/>
          <w:szCs w:val="28"/>
        </w:rPr>
        <w:t>合同生效</w:t>
      </w:r>
    </w:p>
    <w:p w14:paraId="4D4957CC">
      <w:pPr>
        <w:keepNext w:val="0"/>
        <w:keepLines w:val="0"/>
        <w:pageBreakBefore w:val="0"/>
        <w:widowControl w:val="0"/>
        <w:kinsoku w:val="0"/>
        <w:wordWrap/>
        <w:overflowPunct/>
        <w:topLinePunct w:val="0"/>
        <w:autoSpaceDE w:val="0"/>
        <w:autoSpaceDN w:val="0"/>
        <w:bidi w:val="0"/>
        <w:adjustRightInd w:val="0"/>
        <w:snapToGrid w:val="0"/>
        <w:spacing w:line="360" w:lineRule="auto"/>
        <w:ind w:firstLine="560" w:firstLineChars="200"/>
        <w:textAlignment w:val="baseline"/>
        <w:rPr>
          <w:rFonts w:hint="eastAsia" w:ascii="仿宋_GB2312" w:hAnsi="仿宋" w:eastAsia="仿宋_GB2312"/>
          <w:bCs/>
          <w:sz w:val="28"/>
          <w:szCs w:val="28"/>
        </w:rPr>
      </w:pPr>
      <w:r>
        <w:rPr>
          <w:rFonts w:hint="eastAsia" w:ascii="仿宋_GB2312" w:hAnsi="仿宋" w:eastAsia="仿宋_GB2312"/>
          <w:bCs/>
          <w:sz w:val="28"/>
          <w:szCs w:val="28"/>
        </w:rPr>
        <w:t>（一）本合同须经甲、乙双方的法定代表人（授权代表）在合同书上签字并加盖本单位公章后正式生效。</w:t>
      </w:r>
    </w:p>
    <w:p w14:paraId="2971A078">
      <w:pPr>
        <w:keepNext w:val="0"/>
        <w:keepLines w:val="0"/>
        <w:pageBreakBefore w:val="0"/>
        <w:widowControl w:val="0"/>
        <w:kinsoku w:val="0"/>
        <w:wordWrap/>
        <w:overflowPunct/>
        <w:topLinePunct w:val="0"/>
        <w:autoSpaceDE w:val="0"/>
        <w:autoSpaceDN w:val="0"/>
        <w:bidi w:val="0"/>
        <w:adjustRightInd w:val="0"/>
        <w:snapToGrid w:val="0"/>
        <w:spacing w:line="360" w:lineRule="auto"/>
        <w:ind w:firstLine="560" w:firstLineChars="200"/>
        <w:textAlignment w:val="baseline"/>
        <w:rPr>
          <w:rFonts w:ascii="仿宋_GB2312" w:hAnsi="仿宋" w:eastAsia="仿宋_GB2312"/>
          <w:bCs/>
          <w:sz w:val="28"/>
          <w:szCs w:val="28"/>
        </w:rPr>
      </w:pPr>
      <w:r>
        <w:rPr>
          <w:rFonts w:hint="eastAsia" w:ascii="仿宋_GB2312" w:hAnsi="仿宋" w:eastAsia="仿宋_GB2312"/>
          <w:bCs/>
          <w:sz w:val="28"/>
          <w:szCs w:val="28"/>
        </w:rPr>
        <w:t>（二）合同生效后，甲、乙双方须严格执行本合同条款的规定，全面履行合同，违者按《中华人民共</w:t>
      </w:r>
      <w:bookmarkStart w:id="0" w:name="_GoBack"/>
      <w:bookmarkEnd w:id="0"/>
      <w:r>
        <w:rPr>
          <w:rFonts w:hint="eastAsia" w:ascii="仿宋_GB2312" w:hAnsi="仿宋" w:eastAsia="仿宋_GB2312"/>
          <w:bCs/>
          <w:sz w:val="28"/>
          <w:szCs w:val="28"/>
        </w:rPr>
        <w:t>和国民法典》的有关规定承担相应责任。</w:t>
      </w:r>
    </w:p>
    <w:p w14:paraId="40680229">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（三）本合同一式</w:t>
      </w:r>
      <w:r>
        <w:rPr>
          <w:rFonts w:hint="eastAsia" w:ascii="仿宋_GB2312" w:hAnsi="仿宋" w:eastAsia="仿宋_GB2312"/>
          <w:bCs/>
          <w:sz w:val="28"/>
          <w:szCs w:val="28"/>
          <w:u w:val="single"/>
        </w:rPr>
        <w:t xml:space="preserve">   </w:t>
      </w:r>
      <w:r>
        <w:rPr>
          <w:rFonts w:hint="eastAsia" w:ascii="仿宋_GB2312" w:hAnsi="仿宋" w:eastAsia="仿宋_GB2312"/>
          <w:bCs/>
          <w:sz w:val="28"/>
          <w:szCs w:val="28"/>
        </w:rPr>
        <w:t>份，甲乙双方各执</w:t>
      </w:r>
      <w:r>
        <w:rPr>
          <w:rFonts w:hint="eastAsia" w:ascii="仿宋_GB2312" w:hAnsi="仿宋" w:eastAsia="仿宋_GB2312"/>
          <w:bCs/>
          <w:sz w:val="28"/>
          <w:szCs w:val="28"/>
          <w:u w:val="single"/>
        </w:rPr>
        <w:t xml:space="preserve">    </w:t>
      </w:r>
      <w:r>
        <w:rPr>
          <w:rFonts w:hint="eastAsia" w:ascii="仿宋_GB2312" w:hAnsi="仿宋" w:eastAsia="仿宋_GB2312"/>
          <w:bCs/>
          <w:sz w:val="28"/>
          <w:szCs w:val="28"/>
        </w:rPr>
        <w:t>份。</w:t>
      </w:r>
    </w:p>
    <w:p w14:paraId="552A08CE">
      <w:pPr>
        <w:keepNext w:val="0"/>
        <w:keepLines w:val="0"/>
        <w:pageBreakBefore w:val="0"/>
        <w:widowControl w:val="0"/>
        <w:kinsoku/>
        <w:wordWrap/>
        <w:overflowPunct/>
        <w:topLinePunct w:val="0"/>
        <w:autoSpaceDE w:val="0"/>
        <w:autoSpaceDN w:val="0"/>
        <w:bidi w:val="0"/>
        <w:adjustRightInd w:val="0"/>
        <w:snapToGrid w:val="0"/>
        <w:spacing w:after="0" w:afterLines="50"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_GB2312" w:eastAsia="仿宋_GB2312" w:cs="仿宋_GB2312"/>
          <w:sz w:val="28"/>
          <w:szCs w:val="28"/>
        </w:rPr>
        <w:t>（四）本合同如有未尽事宜，甲、乙双方协商解决</w:t>
      </w:r>
      <w:r>
        <w:rPr>
          <w:rFonts w:hint="eastAsia" w:ascii="仿宋_GB2312" w:hAnsi="仿宋" w:eastAsia="仿宋_GB2312"/>
          <w:bCs/>
          <w:sz w:val="28"/>
          <w:szCs w:val="28"/>
          <w:highlight w:val="none"/>
        </w:rPr>
        <w:t>。</w:t>
      </w:r>
    </w:p>
    <w:p w14:paraId="6B0CAF6A">
      <w:pPr>
        <w:spacing w:line="360" w:lineRule="auto"/>
        <w:ind w:firstLine="560" w:firstLineChars="200"/>
        <w:rPr>
          <w:rFonts w:hint="eastAsia" w:ascii="仿宋_GB2312" w:hAnsi="仿宋_GB2312" w:eastAsia="仿宋_GB2312" w:cs="仿宋_GB2312"/>
          <w:sz w:val="28"/>
          <w:szCs w:val="28"/>
        </w:rPr>
      </w:pPr>
    </w:p>
    <w:p w14:paraId="2279585F">
      <w:pPr>
        <w:pStyle w:val="5"/>
        <w:rPr>
          <w:rFonts w:hint="eastAsia" w:ascii="仿宋_GB2312" w:hAnsi="仿宋_GB2312" w:eastAsia="仿宋_GB2312" w:cs="仿宋_GB2312"/>
          <w:sz w:val="28"/>
          <w:szCs w:val="28"/>
        </w:rPr>
      </w:pPr>
    </w:p>
    <w:p w14:paraId="6319C7E3"/>
    <w:p w14:paraId="48068CBD">
      <w:pPr>
        <w:pStyle w:val="8"/>
        <w:tabs>
          <w:tab w:val="center" w:pos="4153"/>
          <w:tab w:val="right" w:pos="8306"/>
          <w:tab w:val="clear" w:pos="4140"/>
          <w:tab w:val="clear" w:pos="8300"/>
        </w:tabs>
        <w:rPr>
          <w:rFonts w:ascii="仿宋_GB2312" w:hAnsi="仿宋_GB2312" w:eastAsia="仿宋_GB2312" w:cs="仿宋_GB2312"/>
          <w:sz w:val="28"/>
          <w:szCs w:val="28"/>
        </w:rPr>
      </w:pPr>
    </w:p>
    <w:tbl>
      <w:tblPr>
        <w:tblStyle w:val="13"/>
        <w:tblW w:w="0" w:type="auto"/>
        <w:jc w:val="center"/>
        <w:tblLayout w:type="fixed"/>
        <w:tblCellMar>
          <w:top w:w="0" w:type="dxa"/>
          <w:left w:w="108" w:type="dxa"/>
          <w:bottom w:w="0" w:type="dxa"/>
          <w:right w:w="108" w:type="dxa"/>
        </w:tblCellMar>
      </w:tblPr>
      <w:tblGrid>
        <w:gridCol w:w="4201"/>
        <w:gridCol w:w="4202"/>
      </w:tblGrid>
      <w:tr w14:paraId="370DEF25">
        <w:tblPrEx>
          <w:tblCellMar>
            <w:top w:w="0" w:type="dxa"/>
            <w:left w:w="108" w:type="dxa"/>
            <w:bottom w:w="0" w:type="dxa"/>
            <w:right w:w="108" w:type="dxa"/>
          </w:tblCellMar>
        </w:tblPrEx>
        <w:trPr>
          <w:trHeight w:val="567" w:hRule="exact"/>
          <w:jc w:val="center"/>
        </w:trPr>
        <w:tc>
          <w:tcPr>
            <w:tcW w:w="4201" w:type="dxa"/>
            <w:noWrap w:val="0"/>
            <w:vAlign w:val="center"/>
          </w:tcPr>
          <w:p w14:paraId="2E97E2E5">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甲  方</w:t>
            </w:r>
          </w:p>
        </w:tc>
        <w:tc>
          <w:tcPr>
            <w:tcW w:w="4202" w:type="dxa"/>
            <w:noWrap w:val="0"/>
            <w:vAlign w:val="center"/>
          </w:tcPr>
          <w:p w14:paraId="3B39BF2B">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乙  方</w:t>
            </w:r>
          </w:p>
        </w:tc>
      </w:tr>
      <w:tr w14:paraId="407CD09A">
        <w:tblPrEx>
          <w:tblCellMar>
            <w:top w:w="0" w:type="dxa"/>
            <w:left w:w="108" w:type="dxa"/>
            <w:bottom w:w="0" w:type="dxa"/>
            <w:right w:w="108" w:type="dxa"/>
          </w:tblCellMar>
        </w:tblPrEx>
        <w:trPr>
          <w:trHeight w:val="567" w:hRule="exact"/>
          <w:jc w:val="center"/>
        </w:trPr>
        <w:tc>
          <w:tcPr>
            <w:tcW w:w="4201" w:type="dxa"/>
            <w:noWrap w:val="0"/>
            <w:vAlign w:val="center"/>
          </w:tcPr>
          <w:p w14:paraId="007B0DA7">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（盖章）</w:t>
            </w:r>
          </w:p>
        </w:tc>
        <w:tc>
          <w:tcPr>
            <w:tcW w:w="4202" w:type="dxa"/>
            <w:noWrap w:val="0"/>
            <w:vAlign w:val="center"/>
          </w:tcPr>
          <w:p w14:paraId="2F3E5B3C">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（盖章）</w:t>
            </w:r>
          </w:p>
        </w:tc>
      </w:tr>
      <w:tr w14:paraId="36297EA2">
        <w:tblPrEx>
          <w:tblCellMar>
            <w:top w:w="0" w:type="dxa"/>
            <w:left w:w="108" w:type="dxa"/>
            <w:bottom w:w="0" w:type="dxa"/>
            <w:right w:w="108" w:type="dxa"/>
          </w:tblCellMar>
        </w:tblPrEx>
        <w:trPr>
          <w:trHeight w:val="567" w:hRule="exact"/>
          <w:jc w:val="center"/>
        </w:trPr>
        <w:tc>
          <w:tcPr>
            <w:tcW w:w="4201" w:type="dxa"/>
            <w:noWrap w:val="0"/>
            <w:vAlign w:val="center"/>
          </w:tcPr>
          <w:p w14:paraId="21F92F6C">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 xml:space="preserve">地址： </w:t>
            </w:r>
          </w:p>
        </w:tc>
        <w:tc>
          <w:tcPr>
            <w:tcW w:w="4202" w:type="dxa"/>
            <w:noWrap w:val="0"/>
            <w:vAlign w:val="center"/>
          </w:tcPr>
          <w:p w14:paraId="435659B0">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地址：</w:t>
            </w:r>
          </w:p>
        </w:tc>
      </w:tr>
      <w:tr w14:paraId="7A2FD35E">
        <w:tblPrEx>
          <w:tblCellMar>
            <w:top w:w="0" w:type="dxa"/>
            <w:left w:w="108" w:type="dxa"/>
            <w:bottom w:w="0" w:type="dxa"/>
            <w:right w:w="108" w:type="dxa"/>
          </w:tblCellMar>
        </w:tblPrEx>
        <w:trPr>
          <w:trHeight w:val="567" w:hRule="exact"/>
          <w:jc w:val="center"/>
        </w:trPr>
        <w:tc>
          <w:tcPr>
            <w:tcW w:w="4201" w:type="dxa"/>
            <w:noWrap w:val="0"/>
            <w:vAlign w:val="center"/>
          </w:tcPr>
          <w:p w14:paraId="05306FF2">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 xml:space="preserve">法定代表人 </w:t>
            </w:r>
          </w:p>
        </w:tc>
        <w:tc>
          <w:tcPr>
            <w:tcW w:w="4202" w:type="dxa"/>
            <w:noWrap w:val="0"/>
            <w:vAlign w:val="center"/>
          </w:tcPr>
          <w:p w14:paraId="41FAEDB1">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法定代表人</w:t>
            </w:r>
          </w:p>
        </w:tc>
      </w:tr>
      <w:tr w14:paraId="069CCC2D">
        <w:tblPrEx>
          <w:tblCellMar>
            <w:top w:w="0" w:type="dxa"/>
            <w:left w:w="108" w:type="dxa"/>
            <w:bottom w:w="0" w:type="dxa"/>
            <w:right w:w="108" w:type="dxa"/>
          </w:tblCellMar>
        </w:tblPrEx>
        <w:trPr>
          <w:trHeight w:val="567" w:hRule="exact"/>
          <w:jc w:val="center"/>
        </w:trPr>
        <w:tc>
          <w:tcPr>
            <w:tcW w:w="4201" w:type="dxa"/>
            <w:noWrap w:val="0"/>
            <w:vAlign w:val="center"/>
          </w:tcPr>
          <w:p w14:paraId="554B9264">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或授权代表：</w:t>
            </w:r>
          </w:p>
        </w:tc>
        <w:tc>
          <w:tcPr>
            <w:tcW w:w="4202" w:type="dxa"/>
            <w:noWrap w:val="0"/>
            <w:vAlign w:val="center"/>
          </w:tcPr>
          <w:p w14:paraId="3EDC2B72">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或授权代表：</w:t>
            </w:r>
          </w:p>
        </w:tc>
      </w:tr>
      <w:tr w14:paraId="7378F789">
        <w:tblPrEx>
          <w:tblCellMar>
            <w:top w:w="0" w:type="dxa"/>
            <w:left w:w="108" w:type="dxa"/>
            <w:bottom w:w="0" w:type="dxa"/>
            <w:right w:w="108" w:type="dxa"/>
          </w:tblCellMar>
        </w:tblPrEx>
        <w:trPr>
          <w:trHeight w:val="567" w:hRule="exact"/>
          <w:jc w:val="center"/>
        </w:trPr>
        <w:tc>
          <w:tcPr>
            <w:tcW w:w="4201" w:type="dxa"/>
            <w:noWrap w:val="0"/>
            <w:vAlign w:val="center"/>
          </w:tcPr>
          <w:p w14:paraId="1D2F093B">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电话：</w:t>
            </w:r>
          </w:p>
        </w:tc>
        <w:tc>
          <w:tcPr>
            <w:tcW w:w="4202" w:type="dxa"/>
            <w:noWrap w:val="0"/>
            <w:vAlign w:val="center"/>
          </w:tcPr>
          <w:p w14:paraId="5049EBEC">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电话：</w:t>
            </w:r>
          </w:p>
        </w:tc>
      </w:tr>
      <w:tr w14:paraId="2BE96FA8">
        <w:tblPrEx>
          <w:tblCellMar>
            <w:top w:w="0" w:type="dxa"/>
            <w:left w:w="108" w:type="dxa"/>
            <w:bottom w:w="0" w:type="dxa"/>
            <w:right w:w="108" w:type="dxa"/>
          </w:tblCellMar>
        </w:tblPrEx>
        <w:trPr>
          <w:trHeight w:val="567" w:hRule="exact"/>
          <w:jc w:val="center"/>
        </w:trPr>
        <w:tc>
          <w:tcPr>
            <w:tcW w:w="4201" w:type="dxa"/>
            <w:noWrap w:val="0"/>
            <w:vAlign w:val="center"/>
          </w:tcPr>
          <w:p w14:paraId="2CA2E8C6">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传真：</w:t>
            </w:r>
          </w:p>
        </w:tc>
        <w:tc>
          <w:tcPr>
            <w:tcW w:w="4202" w:type="dxa"/>
            <w:noWrap w:val="0"/>
            <w:vAlign w:val="center"/>
          </w:tcPr>
          <w:p w14:paraId="684F1194">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传真：</w:t>
            </w:r>
          </w:p>
        </w:tc>
      </w:tr>
      <w:tr w14:paraId="1CC82CBE">
        <w:tblPrEx>
          <w:tblCellMar>
            <w:top w:w="0" w:type="dxa"/>
            <w:left w:w="108" w:type="dxa"/>
            <w:bottom w:w="0" w:type="dxa"/>
            <w:right w:w="108" w:type="dxa"/>
          </w:tblCellMar>
        </w:tblPrEx>
        <w:trPr>
          <w:trHeight w:val="567" w:hRule="exact"/>
          <w:jc w:val="center"/>
        </w:trPr>
        <w:tc>
          <w:tcPr>
            <w:tcW w:w="4201" w:type="dxa"/>
            <w:noWrap w:val="0"/>
            <w:vAlign w:val="center"/>
          </w:tcPr>
          <w:p w14:paraId="7E044EA6">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开户银行：</w:t>
            </w:r>
          </w:p>
        </w:tc>
        <w:tc>
          <w:tcPr>
            <w:tcW w:w="4202" w:type="dxa"/>
            <w:noWrap w:val="0"/>
            <w:vAlign w:val="center"/>
          </w:tcPr>
          <w:p w14:paraId="0D67B846">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lang w:val="en-US" w:eastAsia="zh-CN"/>
              </w:rPr>
            </w:pPr>
            <w:r>
              <w:rPr>
                <w:rFonts w:hint="eastAsia" w:ascii="仿宋_GB2312" w:hAnsi="仿宋" w:eastAsia="仿宋_GB2312"/>
                <w:bCs/>
                <w:sz w:val="28"/>
                <w:szCs w:val="28"/>
                <w:highlight w:val="none"/>
              </w:rPr>
              <w:t>开户银行：</w:t>
            </w:r>
          </w:p>
        </w:tc>
      </w:tr>
      <w:tr w14:paraId="38A4C527">
        <w:tblPrEx>
          <w:tblCellMar>
            <w:top w:w="0" w:type="dxa"/>
            <w:left w:w="108" w:type="dxa"/>
            <w:bottom w:w="0" w:type="dxa"/>
            <w:right w:w="108" w:type="dxa"/>
          </w:tblCellMar>
        </w:tblPrEx>
        <w:trPr>
          <w:trHeight w:val="567" w:hRule="exact"/>
          <w:jc w:val="center"/>
        </w:trPr>
        <w:tc>
          <w:tcPr>
            <w:tcW w:w="4201" w:type="dxa"/>
            <w:noWrap w:val="0"/>
            <w:vAlign w:val="center"/>
          </w:tcPr>
          <w:p w14:paraId="174106D4">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lang w:val="en-US" w:eastAsia="zh-CN"/>
              </w:rPr>
              <w:t>日期</w:t>
            </w:r>
            <w:r>
              <w:rPr>
                <w:rFonts w:hint="eastAsia" w:ascii="仿宋_GB2312" w:hAnsi="仿宋" w:eastAsia="仿宋_GB2312"/>
                <w:bCs/>
                <w:sz w:val="28"/>
                <w:szCs w:val="28"/>
                <w:highlight w:val="none"/>
              </w:rPr>
              <w:t>：</w:t>
            </w:r>
          </w:p>
        </w:tc>
        <w:tc>
          <w:tcPr>
            <w:tcW w:w="4202" w:type="dxa"/>
            <w:noWrap w:val="0"/>
            <w:vAlign w:val="center"/>
          </w:tcPr>
          <w:p w14:paraId="45195612">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lang w:val="en-US" w:eastAsia="zh-CN"/>
              </w:rPr>
              <w:t>日期</w:t>
            </w:r>
            <w:r>
              <w:rPr>
                <w:rFonts w:hint="eastAsia" w:ascii="仿宋_GB2312" w:hAnsi="仿宋" w:eastAsia="仿宋_GB2312"/>
                <w:bCs/>
                <w:sz w:val="28"/>
                <w:szCs w:val="28"/>
                <w:highlight w:val="none"/>
              </w:rPr>
              <w:t>：</w:t>
            </w:r>
          </w:p>
        </w:tc>
      </w:tr>
    </w:tbl>
    <w:p w14:paraId="49ED32EA"/>
    <w:sectPr>
      <w:headerReference r:id="rId3" w:type="default"/>
      <w:footerReference r:id="rId4" w:type="default"/>
      <w:pgSz w:w="11909" w:h="16841"/>
      <w:pgMar w:top="1417" w:right="1417" w:bottom="1417" w:left="1417" w:header="850" w:footer="10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3CB5AC18-EE87-4CF3-BC5B-D9CADC47641C}"/>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embedRegular r:id="rId2" w:fontKey="{7A0513E7-F988-4219-9C86-A311EB7FD203}"/>
  </w:font>
  <w:font w:name="仿宋_GB2312">
    <w:panose1 w:val="02010609030101010101"/>
    <w:charset w:val="86"/>
    <w:family w:val="modern"/>
    <w:pitch w:val="default"/>
    <w:sig w:usb0="00000001" w:usb1="080E0000" w:usb2="00000000" w:usb3="00000000" w:csb0="00040000" w:csb1="00000000"/>
    <w:embedRegular r:id="rId3" w:fontKey="{4582BD78-7129-42F6-91FC-4BFA93208004}"/>
  </w:font>
  <w:font w:name="微软雅黑">
    <w:panose1 w:val="020B0503020204020204"/>
    <w:charset w:val="86"/>
    <w:family w:val="auto"/>
    <w:pitch w:val="default"/>
    <w:sig w:usb0="80000287" w:usb1="2ACF3C50" w:usb2="00000016" w:usb3="00000000" w:csb0="0004001F" w:csb1="00000000"/>
    <w:embedRegular r:id="rId4" w:fontKey="{ABFCC92C-FC01-45A9-BB78-CCBDABF0AE91}"/>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878FE8">
    <w:pPr>
      <w:spacing w:line="14" w:lineRule="auto"/>
      <w:rPr>
        <w:rFonts w:ascii="Arial"/>
        <w:sz w:val="2"/>
      </w:rPr>
    </w:pPr>
    <w:r>
      <w:rPr>
        <w:sz w:val="2"/>
      </w:rPr>
      <mc:AlternateContent>
        <mc:Choice Requires="wps">
          <w:drawing>
            <wp:anchor distT="0" distB="0" distL="114300" distR="114300" simplePos="0" relativeHeight="251659264" behindDoc="0" locked="0" layoutInCell="1" allowOverlap="1">
              <wp:simplePos x="0" y="0"/>
              <wp:positionH relativeFrom="margin">
                <wp:posOffset>2623820</wp:posOffset>
              </wp:positionH>
              <wp:positionV relativeFrom="paragraph">
                <wp:posOffset>-174625</wp:posOffset>
              </wp:positionV>
              <wp:extent cx="467360" cy="172720"/>
              <wp:effectExtent l="0" t="0" r="2540" b="11430"/>
              <wp:wrapNone/>
              <wp:docPr id="7" name="文本框 7"/>
              <wp:cNvGraphicFramePr/>
              <a:graphic xmlns:a="http://schemas.openxmlformats.org/drawingml/2006/main">
                <a:graphicData uri="http://schemas.microsoft.com/office/word/2010/wordprocessingShape">
                  <wps:wsp>
                    <wps:cNvSpPr txBox="1"/>
                    <wps:spPr>
                      <a:xfrm>
                        <a:off x="0" y="0"/>
                        <a:ext cx="467360" cy="172720"/>
                      </a:xfrm>
                      <a:prstGeom prst="rect">
                        <a:avLst/>
                      </a:prstGeom>
                      <a:noFill/>
                      <a:ln w="6350">
                        <a:noFill/>
                      </a:ln>
                    </wps:spPr>
                    <wps:txbx>
                      <w:txbxContent>
                        <w:p w14:paraId="0EFA8E70">
                          <w:pPr>
                            <w:pStyle w:val="8"/>
                            <w:tabs>
                              <w:tab w:val="center" w:pos="4153"/>
                              <w:tab w:val="right" w:pos="8306"/>
                              <w:tab w:val="clear" w:pos="4140"/>
                              <w:tab w:val="clear" w:pos="8300"/>
                            </w:tabs>
                          </w:pPr>
                          <w:r>
                            <w:rPr>
                              <w:sz w:val="21"/>
                              <w:szCs w:val="21"/>
                            </w:rPr>
                            <w:t xml:space="preserve">第 </w:t>
                          </w:r>
                          <w:r>
                            <w:rPr>
                              <w:sz w:val="21"/>
                              <w:szCs w:val="21"/>
                            </w:rPr>
                            <w:fldChar w:fldCharType="begin"/>
                          </w:r>
                          <w:r>
                            <w:rPr>
                              <w:sz w:val="21"/>
                              <w:szCs w:val="21"/>
                            </w:rPr>
                            <w:instrText xml:space="preserve"> PAGE  \* MERGEFORMAT </w:instrText>
                          </w:r>
                          <w:r>
                            <w:rPr>
                              <w:sz w:val="21"/>
                              <w:szCs w:val="21"/>
                            </w:rPr>
                            <w:fldChar w:fldCharType="separate"/>
                          </w:r>
                          <w:r>
                            <w:rPr>
                              <w:sz w:val="21"/>
                              <w:szCs w:val="21"/>
                            </w:rPr>
                            <w:t>1</w:t>
                          </w:r>
                          <w:r>
                            <w:rPr>
                              <w:sz w:val="21"/>
                              <w:szCs w:val="21"/>
                            </w:rPr>
                            <w:fldChar w:fldCharType="end"/>
                          </w:r>
                          <w:r>
                            <w:rPr>
                              <w:sz w:val="21"/>
                              <w:szCs w:val="21"/>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206.6pt;margin-top:-13.75pt;height:13.6pt;width:36.8pt;mso-position-horizontal-relative:margin;mso-wrap-style:none;z-index:251659264;mso-width-relative:page;mso-height-relative:page;" filled="f" stroked="f" coordsize="21600,21600" o:gfxdata="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Asvhy41gAAAAkBAAAPAAAAAAAAAAEAIAAAACIAAABkcnMvZG93bnJldi54bWxQSwEC&#10;FAAUAAAACACHTuJALEJu2i8CAABTBAAADgAAAAAAAAABACAAAAAlAQAAZHJzL2Uyb0RvYy54bWxQ&#10;SwUGAAAAAAYABgBZAQAAxgUAAAAA&#10;">
              <v:fill on="f" focussize="0,0"/>
              <v:stroke on="f" weight="0.5pt"/>
              <v:imagedata o:title=""/>
              <o:lock v:ext="edit" aspectratio="f"/>
              <v:textbox inset="0mm,0mm,0mm,0mm" style="mso-fit-shape-to-text:t;">
                <w:txbxContent>
                  <w:p w14:paraId="0EFA8E70">
                    <w:pPr>
                      <w:pStyle w:val="8"/>
                      <w:tabs>
                        <w:tab w:val="center" w:pos="4153"/>
                        <w:tab w:val="right" w:pos="8306"/>
                        <w:tab w:val="clear" w:pos="4140"/>
                        <w:tab w:val="clear" w:pos="8300"/>
                      </w:tabs>
                    </w:pPr>
                    <w:r>
                      <w:rPr>
                        <w:sz w:val="21"/>
                        <w:szCs w:val="21"/>
                      </w:rPr>
                      <w:t xml:space="preserve">第 </w:t>
                    </w:r>
                    <w:r>
                      <w:rPr>
                        <w:sz w:val="21"/>
                        <w:szCs w:val="21"/>
                      </w:rPr>
                      <w:fldChar w:fldCharType="begin"/>
                    </w:r>
                    <w:r>
                      <w:rPr>
                        <w:sz w:val="21"/>
                        <w:szCs w:val="21"/>
                      </w:rPr>
                      <w:instrText xml:space="preserve"> PAGE  \* MERGEFORMAT </w:instrText>
                    </w:r>
                    <w:r>
                      <w:rPr>
                        <w:sz w:val="21"/>
                        <w:szCs w:val="21"/>
                      </w:rPr>
                      <w:fldChar w:fldCharType="separate"/>
                    </w:r>
                    <w:r>
                      <w:rPr>
                        <w:sz w:val="21"/>
                        <w:szCs w:val="21"/>
                      </w:rPr>
                      <w:t>1</w:t>
                    </w:r>
                    <w:r>
                      <w:rPr>
                        <w:sz w:val="21"/>
                        <w:szCs w:val="21"/>
                      </w:rPr>
                      <w:fldChar w:fldCharType="end"/>
                    </w:r>
                    <w:r>
                      <w:rPr>
                        <w:sz w:val="21"/>
                        <w:szCs w:val="21"/>
                      </w:rP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7C11F6">
    <w:pPr>
      <w:spacing w:line="14" w:lineRule="auto"/>
      <w:rPr>
        <w:rFonts w:ascii="Arial"/>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MxNWU5MTM1NDJhMzM3NzZlNjAyMmRiMjcyMmY4OWYifQ=="/>
  </w:docVars>
  <w:rsids>
    <w:rsidRoot w:val="29BB6BC2"/>
    <w:rsid w:val="00032C77"/>
    <w:rsid w:val="00042B50"/>
    <w:rsid w:val="0005444A"/>
    <w:rsid w:val="00055484"/>
    <w:rsid w:val="00196F8D"/>
    <w:rsid w:val="002134F5"/>
    <w:rsid w:val="00240D10"/>
    <w:rsid w:val="002A2C9E"/>
    <w:rsid w:val="00301B8C"/>
    <w:rsid w:val="00333158"/>
    <w:rsid w:val="00366B06"/>
    <w:rsid w:val="005C205E"/>
    <w:rsid w:val="00680F55"/>
    <w:rsid w:val="006B2966"/>
    <w:rsid w:val="006E04B8"/>
    <w:rsid w:val="007377F8"/>
    <w:rsid w:val="007646EA"/>
    <w:rsid w:val="008B1E38"/>
    <w:rsid w:val="009015B2"/>
    <w:rsid w:val="009F1E94"/>
    <w:rsid w:val="00AD6F4F"/>
    <w:rsid w:val="00B35765"/>
    <w:rsid w:val="00C65FC8"/>
    <w:rsid w:val="00CC3A78"/>
    <w:rsid w:val="00CE21B5"/>
    <w:rsid w:val="00CF6641"/>
    <w:rsid w:val="00E8712A"/>
    <w:rsid w:val="00EF3803"/>
    <w:rsid w:val="00F47186"/>
    <w:rsid w:val="00FA5ACA"/>
    <w:rsid w:val="00FC1B97"/>
    <w:rsid w:val="01981D96"/>
    <w:rsid w:val="02680F16"/>
    <w:rsid w:val="06044D8E"/>
    <w:rsid w:val="063C3527"/>
    <w:rsid w:val="071938B9"/>
    <w:rsid w:val="0B186D4E"/>
    <w:rsid w:val="0CF24C32"/>
    <w:rsid w:val="0DA008CC"/>
    <w:rsid w:val="0EBB3568"/>
    <w:rsid w:val="0EC60B07"/>
    <w:rsid w:val="10332904"/>
    <w:rsid w:val="10CF4970"/>
    <w:rsid w:val="10F63A27"/>
    <w:rsid w:val="14561BE7"/>
    <w:rsid w:val="172B4FA4"/>
    <w:rsid w:val="192A37C4"/>
    <w:rsid w:val="198577DD"/>
    <w:rsid w:val="19966094"/>
    <w:rsid w:val="1CA80820"/>
    <w:rsid w:val="1D6E70FD"/>
    <w:rsid w:val="1E6D5F03"/>
    <w:rsid w:val="21665943"/>
    <w:rsid w:val="244871F4"/>
    <w:rsid w:val="25295AB7"/>
    <w:rsid w:val="274E2D73"/>
    <w:rsid w:val="27EF733B"/>
    <w:rsid w:val="292902AA"/>
    <w:rsid w:val="29BB6BC2"/>
    <w:rsid w:val="2C0F4050"/>
    <w:rsid w:val="2EAE2AA4"/>
    <w:rsid w:val="2EEA293E"/>
    <w:rsid w:val="2F1025C8"/>
    <w:rsid w:val="30104537"/>
    <w:rsid w:val="313868D1"/>
    <w:rsid w:val="325B49C3"/>
    <w:rsid w:val="326A7D77"/>
    <w:rsid w:val="33EF3E56"/>
    <w:rsid w:val="39094D4C"/>
    <w:rsid w:val="3CCE5611"/>
    <w:rsid w:val="3CE71A85"/>
    <w:rsid w:val="412A6A1E"/>
    <w:rsid w:val="414032D5"/>
    <w:rsid w:val="45FB0DB9"/>
    <w:rsid w:val="467E02E4"/>
    <w:rsid w:val="4EC118A7"/>
    <w:rsid w:val="4F1C52C5"/>
    <w:rsid w:val="4FDA2485"/>
    <w:rsid w:val="528C1FD1"/>
    <w:rsid w:val="54F63A8A"/>
    <w:rsid w:val="57DF2953"/>
    <w:rsid w:val="5C7E1FD1"/>
    <w:rsid w:val="5D3B49BA"/>
    <w:rsid w:val="60E414E6"/>
    <w:rsid w:val="61E5759F"/>
    <w:rsid w:val="64A137DB"/>
    <w:rsid w:val="67493010"/>
    <w:rsid w:val="696F3399"/>
    <w:rsid w:val="734E36BE"/>
    <w:rsid w:val="741C09D0"/>
    <w:rsid w:val="74343D24"/>
    <w:rsid w:val="764F97C9"/>
    <w:rsid w:val="78C53AE4"/>
    <w:rsid w:val="7EB51055"/>
    <w:rsid w:val="7F3F399C"/>
    <w:rsid w:val="7FB46DC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3">
    <w:name w:val="Normal Indent"/>
    <w:basedOn w:val="1"/>
    <w:autoRedefine/>
    <w:qFormat/>
    <w:uiPriority w:val="0"/>
    <w:pPr>
      <w:ind w:firstLine="420"/>
    </w:pPr>
    <w:rPr>
      <w:szCs w:val="21"/>
    </w:rPr>
  </w:style>
  <w:style w:type="paragraph" w:styleId="4">
    <w:name w:val="annotation text"/>
    <w:basedOn w:val="1"/>
    <w:autoRedefine/>
    <w:qFormat/>
    <w:uiPriority w:val="0"/>
    <w:pPr>
      <w:jc w:val="left"/>
    </w:pPr>
  </w:style>
  <w:style w:type="paragraph" w:styleId="5">
    <w:name w:val="Body Text"/>
    <w:basedOn w:val="1"/>
    <w:next w:val="1"/>
    <w:autoRedefine/>
    <w:qFormat/>
    <w:uiPriority w:val="99"/>
    <w:pPr>
      <w:jc w:val="left"/>
    </w:pPr>
    <w:rPr>
      <w:kern w:val="0"/>
    </w:rPr>
  </w:style>
  <w:style w:type="paragraph" w:styleId="6">
    <w:name w:val="Plain Text"/>
    <w:basedOn w:val="1"/>
    <w:autoRedefine/>
    <w:qFormat/>
    <w:uiPriority w:val="0"/>
    <w:rPr>
      <w:rFonts w:ascii="宋体" w:hAnsi="Courier New"/>
      <w:kern w:val="0"/>
      <w:sz w:val="20"/>
    </w:rPr>
  </w:style>
  <w:style w:type="paragraph" w:styleId="7">
    <w:name w:val="Balloon Text"/>
    <w:basedOn w:val="1"/>
    <w:link w:val="18"/>
    <w:autoRedefine/>
    <w:qFormat/>
    <w:uiPriority w:val="0"/>
    <w:rPr>
      <w:sz w:val="18"/>
      <w:szCs w:val="18"/>
    </w:rPr>
  </w:style>
  <w:style w:type="paragraph" w:styleId="8">
    <w:name w:val="footer"/>
    <w:basedOn w:val="1"/>
    <w:autoRedefine/>
    <w:qFormat/>
    <w:uiPriority w:val="0"/>
    <w:pPr>
      <w:tabs>
        <w:tab w:val="center" w:pos="4140"/>
        <w:tab w:val="right" w:pos="8300"/>
      </w:tabs>
      <w:snapToGrid w:val="0"/>
      <w:jc w:val="left"/>
    </w:pPr>
    <w:rPr>
      <w:sz w:val="18"/>
      <w:szCs w:val="18"/>
    </w:rPr>
  </w:style>
  <w:style w:type="paragraph" w:styleId="9">
    <w:name w:val="header"/>
    <w:basedOn w:val="1"/>
    <w:link w:val="17"/>
    <w:autoRedefine/>
    <w:qFormat/>
    <w:uiPriority w:val="0"/>
    <w:pPr>
      <w:pBdr>
        <w:bottom w:val="single" w:color="auto" w:sz="6" w:space="1"/>
      </w:pBdr>
      <w:tabs>
        <w:tab w:val="center" w:pos="4153"/>
        <w:tab w:val="right" w:pos="8306"/>
      </w:tabs>
      <w:snapToGrid w:val="0"/>
      <w:jc w:val="center"/>
    </w:pPr>
    <w:rPr>
      <w:sz w:val="18"/>
      <w:szCs w:val="18"/>
    </w:rPr>
  </w:style>
  <w:style w:type="paragraph" w:styleId="10">
    <w:name w:val="Message Header"/>
    <w:basedOn w:val="1"/>
    <w:autoRedefine/>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Cambria" w:hAnsi="Cambria"/>
      <w:sz w:val="24"/>
    </w:rPr>
  </w:style>
  <w:style w:type="paragraph" w:styleId="11">
    <w:name w:val="Normal (Web)"/>
    <w:basedOn w:val="1"/>
    <w:autoRedefine/>
    <w:qFormat/>
    <w:uiPriority w:val="99"/>
    <w:pPr>
      <w:widowControl/>
      <w:spacing w:before="100" w:beforeAutospacing="1" w:after="100" w:afterAutospacing="1"/>
      <w:jc w:val="left"/>
    </w:pPr>
    <w:rPr>
      <w:rFonts w:ascii="宋体" w:cs="宋体"/>
      <w:kern w:val="0"/>
      <w:sz w:val="24"/>
      <w:szCs w:val="24"/>
    </w:rPr>
  </w:style>
  <w:style w:type="paragraph" w:styleId="12">
    <w:name w:val="Body Text First Indent"/>
    <w:basedOn w:val="5"/>
    <w:autoRedefine/>
    <w:qFormat/>
    <w:uiPriority w:val="0"/>
    <w:pPr>
      <w:spacing w:line="360" w:lineRule="auto"/>
      <w:ind w:firstLine="420"/>
    </w:pPr>
    <w:rPr>
      <w:rFonts w:ascii="宋体" w:hAnsi="宋体"/>
      <w:sz w:val="24"/>
    </w:rPr>
  </w:style>
  <w:style w:type="table" w:styleId="14">
    <w:name w:val="Table Grid"/>
    <w:basedOn w:val="13"/>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annotation reference"/>
    <w:basedOn w:val="15"/>
    <w:autoRedefine/>
    <w:qFormat/>
    <w:uiPriority w:val="0"/>
    <w:rPr>
      <w:sz w:val="21"/>
      <w:szCs w:val="21"/>
    </w:rPr>
  </w:style>
  <w:style w:type="character" w:customStyle="1" w:styleId="17">
    <w:name w:val="页眉 Char"/>
    <w:basedOn w:val="15"/>
    <w:link w:val="9"/>
    <w:autoRedefine/>
    <w:qFormat/>
    <w:uiPriority w:val="0"/>
    <w:rPr>
      <w:kern w:val="2"/>
      <w:sz w:val="18"/>
      <w:szCs w:val="18"/>
    </w:rPr>
  </w:style>
  <w:style w:type="character" w:customStyle="1" w:styleId="18">
    <w:name w:val="批注框文本 Char"/>
    <w:basedOn w:val="15"/>
    <w:link w:val="7"/>
    <w:autoRedefine/>
    <w:qFormat/>
    <w:uiPriority w:val="0"/>
    <w:rPr>
      <w:kern w:val="2"/>
      <w:sz w:val="18"/>
      <w:szCs w:val="18"/>
    </w:rPr>
  </w:style>
  <w:style w:type="paragraph" w:customStyle="1" w:styleId="19">
    <w:name w:val="样式 10 磅"/>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
    <w:name w:val="正文空2格  1."/>
    <w:basedOn w:val="1"/>
    <w:autoRedefine/>
    <w:qFormat/>
    <w:uiPriority w:val="0"/>
    <w:pPr>
      <w:adjustRightInd w:val="0"/>
      <w:spacing w:line="360" w:lineRule="auto"/>
      <w:ind w:firstLine="480" w:firstLineChars="200"/>
    </w:pPr>
    <w:rPr>
      <w:rFonts w:hint="eastAsia" w:ascii="宋体" w:eastAsia="仿宋" w:cs="宋体"/>
      <w:kern w:val="0"/>
      <w:sz w:val="28"/>
    </w:rPr>
  </w:style>
  <w:style w:type="paragraph" w:customStyle="1" w:styleId="21">
    <w:name w:val="Default1"/>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HP</Company>
  <Pages>6</Pages>
  <Words>2345</Words>
  <Characters>2372</Characters>
  <Lines>12</Lines>
  <Paragraphs>3</Paragraphs>
  <TotalTime>0</TotalTime>
  <ScaleCrop>false</ScaleCrop>
  <LinksUpToDate>false</LinksUpToDate>
  <CharactersWithSpaces>2484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2025-03-26T08:38:00Z</dcterms:created>
  <dc:creator>独舞的蒲公英</dc:creator>
  <cp:lastModifiedBy>陕西华采招标有限公司</cp:lastModifiedBy>
  <cp:lastPrinted>2022-09-28T14:56:00Z</cp:lastPrinted>
  <dcterms:modified xsi:type="dcterms:W3CDTF">2026-02-27T02:50:41Z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E79E879024B94D3FB100E7468F0D228F</vt:lpwstr>
  </property>
  <property fmtid="{D5CDD505-2E9C-101B-9397-08002B2CF9AE}" pid="4" name="KSOTemplateDocerSaveRecord">
    <vt:lpwstr>eyJoZGlkIjoiYjZjMDgwYWJjZmNiM2YzZmU4MTk1ZjZmYmY1NWU1OTEiLCJ1c2VySWQiOiI5MzY1NjA0ODAifQ==</vt:lpwstr>
  </property>
</Properties>
</file>