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版本号：SXHC2026-02220260227001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鸟类等野生动物保护项目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SXHC2026-022</w:t>
      </w:r>
      <w:r>
        <w:br/>
      </w:r>
      <w:r>
        <w:br/>
      </w:r>
      <w:r>
        <w:br/>
      </w:r>
    </w:p>
    <w:p>
      <w:pPr>
        <w:pStyle w:val="null3"/>
        <w:jc w:val="center"/>
        <w:outlineLvl w:val="2"/>
      </w:pPr>
      <w:r>
        <w:rPr>
          <w:rFonts w:ascii="仿宋_GB2312" w:hAnsi="仿宋_GB2312" w:cs="仿宋_GB2312" w:eastAsia="仿宋_GB2312"/>
          <w:sz w:val="28"/>
          <w:b/>
        </w:rPr>
        <w:t>西安高新技术产业开发区自然资源和规划局</w:t>
      </w:r>
    </w:p>
    <w:p>
      <w:pPr>
        <w:pStyle w:val="null3"/>
        <w:jc w:val="center"/>
        <w:outlineLvl w:val="2"/>
      </w:pPr>
      <w:r>
        <w:rPr>
          <w:rFonts w:ascii="仿宋_GB2312" w:hAnsi="仿宋_GB2312" w:cs="仿宋_GB2312" w:eastAsia="仿宋_GB2312"/>
          <w:sz w:val="28"/>
          <w:b/>
        </w:rPr>
        <w:t>陕西华采招标有限公司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陕西华采招标有限公司</w:t>
      </w:r>
      <w:r>
        <w:rPr>
          <w:rFonts w:ascii="仿宋_GB2312" w:hAnsi="仿宋_GB2312" w:cs="仿宋_GB2312" w:eastAsia="仿宋_GB2312"/>
        </w:rPr>
        <w:t>（以下简称“代理机构”）受</w:t>
      </w:r>
      <w:r>
        <w:rPr>
          <w:rFonts w:ascii="仿宋_GB2312" w:hAnsi="仿宋_GB2312" w:cs="仿宋_GB2312" w:eastAsia="仿宋_GB2312"/>
        </w:rPr>
        <w:t>西安高新技术产业开发区自然资源和规划局</w:t>
      </w:r>
      <w:r>
        <w:rPr>
          <w:rFonts w:ascii="仿宋_GB2312" w:hAnsi="仿宋_GB2312" w:cs="仿宋_GB2312" w:eastAsia="仿宋_GB2312"/>
        </w:rPr>
        <w:t>委托，拟对</w:t>
      </w:r>
      <w:r>
        <w:rPr>
          <w:rFonts w:ascii="仿宋_GB2312" w:hAnsi="仿宋_GB2312" w:cs="仿宋_GB2312" w:eastAsia="仿宋_GB2312"/>
        </w:rPr>
        <w:t>鸟类等野生动物保护项目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SXHC2026-022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鸟类等野生动物保护项目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本项目服务范围涵盖高新区范围内陆生野生动物疫源疫病监测防控、陆生野生动物收容救护，以及相关科普宣传资料制作、警示牌安装及培训工作。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采购包1（鸟类等野生动物保护项目）：属于专门面向中小企业采购。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企业法人应提供合法有效的标识有统一社会信用代码的营业执照；事业法人应提供事业单位法人证书；其他组织应提供合法登记证明文件，自然人提供身份证。若是分支机构参与投标，须提供总公司和分支机构的营业执照。</w:t>
      </w:r>
    </w:p>
    <w:p>
      <w:pPr>
        <w:pStyle w:val="null3"/>
      </w:pPr>
      <w:r>
        <w:rPr>
          <w:rFonts w:ascii="仿宋_GB2312" w:hAnsi="仿宋_GB2312" w:cs="仿宋_GB2312" w:eastAsia="仿宋_GB2312"/>
        </w:rPr>
        <w:t>2、法定代表人身份证明或法定代表人授权委托书：法定代表人直接参加投标的，须提供法定代表人身份证明；法定代表人授权代表参加投标的，须提供法定代表人授权委托书。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3、企业资质：供应商须具备有效的省级及以上《陆生野生动物人工繁育许可证》。</w:t>
      </w:r>
    </w:p>
    <w:p>
      <w:pPr>
        <w:pStyle w:val="null3"/>
      </w:pPr>
      <w:r>
        <w:rPr>
          <w:rFonts w:ascii="仿宋_GB2312" w:hAnsi="仿宋_GB2312" w:cs="仿宋_GB2312" w:eastAsia="仿宋_GB2312"/>
        </w:rPr>
        <w:t>4、信誉要求：供应商未列入“失信被执行人”、“重大税收违法案件当事人名单”和“政府采购严重违法失信行为记录名单”。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西安高新技术产业开发区自然资源和规划局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陕西省西安市高新区成章路丝路创智谷6号楼508室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710117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029-81162245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陕西华采招标有限公司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陕西省西安市雁塔区陕西省西安市高新区锦业路1号绿地中央广场领海AB座2幢1单元12005室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张聪聪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18729904539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西安高新技术产业开发区财政金融局综合监督部</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胥工</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采购包1：421,800.00元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的计算方法：以成交金额为基数，参考《国家计委关于印发&lt;招标代理服务收费管理暂行办法&gt;的通知》（计价格〔2002〕1980号）及《国家发改委关于降低部分建设项目收费标准规范收费行为等有关问题的通知（发改价格〔2011〕534号）规定按标准收取，若按照标准收取不足6000元，按6000元计取。 （2）代理服务费可以采取现金、支票、银行汇票、电汇、网银等方式缴纳。 （3）代理服务费缴纳信息： 银行户名：陕西华采招标有限公司 开户银行：招商银行陕西自贸试验区西安高新科技支行 账 号：1299 0594 2210 666 联 系人：韩工 联系电话：029-68255920转802</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西安高新技术产业开发区自然资源和规划局</w:t>
      </w:r>
      <w:r>
        <w:rPr>
          <w:rFonts w:ascii="仿宋_GB2312" w:hAnsi="仿宋_GB2312" w:cs="仿宋_GB2312" w:eastAsia="仿宋_GB2312"/>
        </w:rPr>
        <w:t>和</w:t>
      </w:r>
      <w:r>
        <w:rPr>
          <w:rFonts w:ascii="仿宋_GB2312" w:hAnsi="仿宋_GB2312" w:cs="仿宋_GB2312" w:eastAsia="仿宋_GB2312"/>
        </w:rPr>
        <w:t>陕西华采招标有限公司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西安高新技术产业开发区自然资源和规划局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陕西华采招标有限公司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西安高新技术产业开发区自然资源和规划局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陕西华采招标有限公司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联系人：党娜</w:t>
      </w:r>
    </w:p>
    <w:p>
      <w:pPr>
        <w:pStyle w:val="null3"/>
      </w:pPr>
      <w:r>
        <w:rPr>
          <w:rFonts w:ascii="仿宋_GB2312" w:hAnsi="仿宋_GB2312" w:cs="仿宋_GB2312" w:eastAsia="仿宋_GB2312"/>
        </w:rPr>
        <w:t>联系电话：029-68255920转806</w:t>
      </w:r>
    </w:p>
    <w:p>
      <w:pPr>
        <w:pStyle w:val="null3"/>
      </w:pPr>
      <w:r>
        <w:rPr>
          <w:rFonts w:ascii="仿宋_GB2312" w:hAnsi="仿宋_GB2312" w:cs="仿宋_GB2312" w:eastAsia="仿宋_GB2312"/>
        </w:rPr>
        <w:t>地址：西安高新区锦业路1号绿地领海大厦B座10楼1006室</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本项目服务范围涵盖高新区范围内陆生野生动物疫源疫病监测防控、陆生野生动物收容救护，以及相关科普宣传资料制作、警示牌安装及培训工作。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421,800.00</w:t>
      </w:r>
    </w:p>
    <w:p>
      <w:pPr>
        <w:pStyle w:val="null3"/>
      </w:pPr>
      <w:r>
        <w:rPr>
          <w:rFonts w:ascii="仿宋_GB2312" w:hAnsi="仿宋_GB2312" w:cs="仿宋_GB2312" w:eastAsia="仿宋_GB2312"/>
        </w:rPr>
        <w:t>采购包最高限价（元）: 421,800.00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鸟类等野生动物保护</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421,800.00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标的名称：鸟类等野生动物保护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2"/>
            </w:pPr>
            <w:r>
              <w:rPr>
                <w:rFonts w:ascii="仿宋_GB2312" w:hAnsi="仿宋_GB2312" w:cs="仿宋_GB2312" w:eastAsia="仿宋_GB2312"/>
                <w:b/>
              </w:rPr>
              <w:t>一、项目概况</w:t>
            </w:r>
          </w:p>
          <w:p>
            <w:pPr>
              <w:pStyle w:val="null3"/>
              <w:ind w:firstLine="560"/>
            </w:pPr>
            <w:r>
              <w:rPr>
                <w:rFonts w:ascii="仿宋_GB2312" w:hAnsi="仿宋_GB2312" w:cs="仿宋_GB2312" w:eastAsia="仿宋_GB2312"/>
              </w:rPr>
              <w:t>本项目服务范围涵盖高新区范围内陆生野生动物疫源疫病监测防控、陆生野生动物收容救护，以及相关科普宣传资料制作、警示牌安装及培训工作。</w:t>
            </w:r>
          </w:p>
          <w:p>
            <w:pPr>
              <w:pStyle w:val="null3"/>
              <w:ind w:firstLine="560"/>
            </w:pPr>
            <w:r>
              <w:rPr>
                <w:rFonts w:ascii="仿宋_GB2312" w:hAnsi="仿宋_GB2312" w:cs="仿宋_GB2312" w:eastAsia="仿宋_GB2312"/>
              </w:rPr>
              <w:t>具体包括：常态化开展巡查监测，排查疫病风险、防范扩散，守护野生动物种群安全与公共卫生安全；承接区域内公众发现、执法机关移交及野外发现的受伤、病弱、受困陆生野生动物收容救护工作，协助采购人开展疑似染疫动物先期隔离、消杀、送检等处置；完成宣传保护警示牌、展架制作安装及科普资料印制，组织开展相关培训及科普宣传活动。</w:t>
            </w:r>
          </w:p>
          <w:p>
            <w:pPr>
              <w:pStyle w:val="null3"/>
              <w:ind w:firstLine="562"/>
            </w:pPr>
            <w:r>
              <w:rPr>
                <w:rFonts w:ascii="仿宋_GB2312" w:hAnsi="仿宋_GB2312" w:cs="仿宋_GB2312" w:eastAsia="仿宋_GB2312"/>
                <w:b/>
              </w:rPr>
              <w:t>二、具体服务要求</w:t>
            </w:r>
          </w:p>
          <w:p>
            <w:pPr>
              <w:pStyle w:val="null3"/>
              <w:ind w:firstLine="562"/>
            </w:pPr>
            <w:r>
              <w:rPr>
                <w:rFonts w:ascii="仿宋_GB2312" w:hAnsi="仿宋_GB2312" w:cs="仿宋_GB2312" w:eastAsia="仿宋_GB2312"/>
                <w:b/>
              </w:rPr>
              <w:t>（一）陆生野生动物疫病监测巡护</w:t>
            </w:r>
          </w:p>
          <w:p>
            <w:pPr>
              <w:pStyle w:val="null3"/>
              <w:ind w:firstLine="560"/>
            </w:pPr>
            <w:r>
              <w:rPr>
                <w:rFonts w:ascii="仿宋_GB2312" w:hAnsi="仿宋_GB2312" w:cs="仿宋_GB2312" w:eastAsia="仿宋_GB2312"/>
              </w:rPr>
              <w:t>1、监测巡护范围及频次：覆盖高新区内河流、湿地、公园等野生动物聚集地及栖息地，重点围绕2处固定监测点、5条样线开展工作，及时排查鸟类等野生动物异常情况，防范疫病扩散传播，保障野生动物种群安全、公共卫生安全及社会经济健康发展。</w:t>
            </w:r>
          </w:p>
          <w:p>
            <w:pPr>
              <w:pStyle w:val="null3"/>
              <w:ind w:firstLine="560"/>
            </w:pPr>
            <w:r>
              <w:rPr>
                <w:rFonts w:ascii="仿宋_GB2312" w:hAnsi="仿宋_GB2312" w:cs="仿宋_GB2312" w:eastAsia="仿宋_GB2312"/>
              </w:rPr>
              <w:t>非重点时期（5月－10月）：每周巡护监测1次；</w:t>
            </w:r>
          </w:p>
          <w:p>
            <w:pPr>
              <w:pStyle w:val="null3"/>
              <w:ind w:firstLine="560"/>
            </w:pPr>
            <w:r>
              <w:rPr>
                <w:rFonts w:ascii="仿宋_GB2312" w:hAnsi="仿宋_GB2312" w:cs="仿宋_GB2312" w:eastAsia="仿宋_GB2312"/>
              </w:rPr>
              <w:t>重点时期（11月－次年4月）：每周巡护监测3次；</w:t>
            </w:r>
          </w:p>
          <w:p>
            <w:pPr>
              <w:pStyle w:val="null3"/>
              <w:ind w:firstLine="560"/>
            </w:pPr>
            <w:r>
              <w:rPr>
                <w:rFonts w:ascii="仿宋_GB2312" w:hAnsi="仿宋_GB2312" w:cs="仿宋_GB2312" w:eastAsia="仿宋_GB2312"/>
              </w:rPr>
              <w:t>2、采购人可根据疫病监测防控形势变化，按照防控要求适时调整巡护监测频次。</w:t>
            </w:r>
          </w:p>
          <w:p>
            <w:pPr>
              <w:pStyle w:val="null3"/>
              <w:ind w:firstLine="560"/>
            </w:pPr>
            <w:r>
              <w:rPr>
                <w:rFonts w:ascii="仿宋_GB2312" w:hAnsi="仿宋_GB2312" w:cs="仿宋_GB2312" w:eastAsia="仿宋_GB2312"/>
              </w:rPr>
              <w:t>3、监测巡护方法：采用样线（点）调查法，结合高倍观鸟镜、高分辨率相机、无人机监测等技术手段，同步开展实地走访核查，确保监测数据全面、准确、可追溯。</w:t>
            </w:r>
          </w:p>
          <w:p>
            <w:pPr>
              <w:pStyle w:val="null3"/>
              <w:ind w:firstLine="560"/>
            </w:pPr>
            <w:r>
              <w:rPr>
                <w:rFonts w:ascii="仿宋_GB2312" w:hAnsi="仿宋_GB2312" w:cs="仿宋_GB2312" w:eastAsia="仿宋_GB2312"/>
              </w:rPr>
              <w:t>4、监测内容及要求：动态掌握高新区内陆生野生动物种群数量、活动状况及变化因素，精准研判疫源疫病发生情况；若监测发现疑似动物，需第一时间上报采购人，并立即实施前期隔离封锁、采样、送检等应急处置工作，防止疫情扩散蔓延。</w:t>
            </w:r>
          </w:p>
          <w:p>
            <w:pPr>
              <w:pStyle w:val="null3"/>
              <w:ind w:firstLine="560"/>
            </w:pPr>
            <w:r>
              <w:rPr>
                <w:rFonts w:ascii="仿宋_GB2312" w:hAnsi="仿宋_GB2312" w:cs="仿宋_GB2312" w:eastAsia="仿宋_GB2312"/>
              </w:rPr>
              <w:t>5、监测成果阶段性提交：需每周五12:00前报送当周监测工作情况，提交格式为监测信息表（需涵盖监测地点、物种名称、种群数量、物种等级、有无异常等核心信息，以及上周数据对比情况等信息），且每周至少完成2处固定点位监测及不少于1条样线巡护，并同步附带监测照片、视频等原始资料。</w:t>
            </w:r>
          </w:p>
          <w:p>
            <w:pPr>
              <w:pStyle w:val="null3"/>
              <w:ind w:firstLine="562"/>
            </w:pPr>
            <w:r>
              <w:rPr>
                <w:rFonts w:ascii="仿宋_GB2312" w:hAnsi="仿宋_GB2312" w:cs="仿宋_GB2312" w:eastAsia="仿宋_GB2312"/>
                <w:b/>
              </w:rPr>
              <w:t>（二）陆生野生动物收容救护</w:t>
            </w:r>
          </w:p>
          <w:p>
            <w:pPr>
              <w:pStyle w:val="null3"/>
              <w:ind w:firstLine="560"/>
            </w:pPr>
            <w:r>
              <w:rPr>
                <w:rFonts w:ascii="仿宋_GB2312" w:hAnsi="仿宋_GB2312" w:cs="仿宋_GB2312" w:eastAsia="仿宋_GB2312"/>
              </w:rPr>
              <w:t>1、服务范围：负责高新区托管区域内，公众发现、执法机关查没移交及野外受伤、病弱、受困陆生野生动物的收容救护工作。</w:t>
            </w:r>
          </w:p>
          <w:p>
            <w:pPr>
              <w:pStyle w:val="null3"/>
              <w:ind w:firstLine="560"/>
            </w:pPr>
            <w:r>
              <w:rPr>
                <w:rFonts w:ascii="仿宋_GB2312" w:hAnsi="仿宋_GB2312" w:cs="仿宋_GB2312" w:eastAsia="仿宋_GB2312"/>
              </w:rPr>
              <w:t>2、响应机制：需实行24小时值班及快速响应制度，确保12345热线转办、各类移交及野外发现的野生动物救护需求，第一时间赶赴现场处置，保障救护工作高效落地。</w:t>
            </w:r>
          </w:p>
          <w:p>
            <w:pPr>
              <w:pStyle w:val="null3"/>
              <w:ind w:firstLine="560"/>
            </w:pPr>
            <w:r>
              <w:rPr>
                <w:rFonts w:ascii="仿宋_GB2312" w:hAnsi="仿宋_GB2312" w:cs="仿宋_GB2312" w:eastAsia="仿宋_GB2312"/>
              </w:rPr>
              <w:t>3、专业化服务内容：提供野生动物治疗、康复饲养、野外放归、康养收容、死亡无害化处置及疑似染疫动物送检等全流程服务。其中，对外来物种及无野外生存能力的动物，做好长期康养收容；对死亡动物严格按照规范开展无害化处置。</w:t>
            </w:r>
          </w:p>
          <w:p>
            <w:pPr>
              <w:pStyle w:val="null3"/>
              <w:ind w:firstLine="560"/>
            </w:pPr>
            <w:r>
              <w:rPr>
                <w:rFonts w:ascii="仿宋_GB2312" w:hAnsi="仿宋_GB2312" w:cs="仿宋_GB2312" w:eastAsia="仿宋_GB2312"/>
              </w:rPr>
              <w:t>4、流程管理规范：经治疗康复且适宜野外生存的动物，需上报采购人，经评估合格后，科学选定适宜生境规范实施野外放归；对无野外生存能力的动物，在保障其福利待遇的前提下进行规范化暂养；涉及国家重点保护野生动物的，需先报请采购人，根据市野生动物收容救护相关规定，移送省救护中心进一步救治。</w:t>
            </w:r>
          </w:p>
          <w:p>
            <w:pPr>
              <w:pStyle w:val="null3"/>
              <w:ind w:firstLine="560"/>
            </w:pPr>
            <w:r>
              <w:rPr>
                <w:rFonts w:ascii="仿宋_GB2312" w:hAnsi="仿宋_GB2312" w:cs="仿宋_GB2312" w:eastAsia="仿宋_GB2312"/>
              </w:rPr>
              <w:t>5、档案及信息报送：建立完整的收容救护档案，详细记录接收动物种类、伤病状况、暂养、治愈放归（或收容）等全流程信息，附相关照片、视频资料；根据要求定期向采购人报送收容救护相关信息，确保全程可追溯。</w:t>
            </w:r>
          </w:p>
          <w:p>
            <w:pPr>
              <w:pStyle w:val="null3"/>
              <w:ind w:firstLine="562"/>
            </w:pPr>
            <w:r>
              <w:rPr>
                <w:rFonts w:ascii="仿宋_GB2312" w:hAnsi="仿宋_GB2312" w:cs="仿宋_GB2312" w:eastAsia="仿宋_GB2312"/>
                <w:b/>
              </w:rPr>
              <w:t>（三）科普宣传及培训</w:t>
            </w:r>
          </w:p>
          <w:p>
            <w:pPr>
              <w:pStyle w:val="null3"/>
              <w:ind w:firstLine="560"/>
            </w:pPr>
            <w:r>
              <w:rPr>
                <w:rFonts w:ascii="仿宋_GB2312" w:hAnsi="仿宋_GB2312" w:cs="仿宋_GB2312" w:eastAsia="仿宋_GB2312"/>
              </w:rPr>
              <w:t>1、宣传资料制作及安装：根据采购人要求，完成野生动物保护宣传警示牌、展架、科普图集等宣传资料的设计、印制及宣传牌安装工作，确保宣传内容合规、安装牢固规范。</w:t>
            </w:r>
          </w:p>
          <w:p>
            <w:pPr>
              <w:pStyle w:val="null3"/>
              <w:ind w:firstLine="560"/>
            </w:pPr>
            <w:r>
              <w:rPr>
                <w:rFonts w:ascii="仿宋_GB2312" w:hAnsi="仿宋_GB2312" w:cs="仿宋_GB2312" w:eastAsia="仿宋_GB2312"/>
              </w:rPr>
              <w:t>2、科普宣传活动：根据采购人要求，结合“爱鸟周”、“野生动物保护宣传月”等重要节点，策划开展普法科普宣传讲座，着力强化公众野生动物保护法治观念，提升对鸟类及其他野生动物的爱护意识。</w:t>
            </w:r>
          </w:p>
          <w:p>
            <w:pPr>
              <w:pStyle w:val="null3"/>
              <w:ind w:firstLine="562"/>
            </w:pPr>
            <w:r>
              <w:rPr>
                <w:rFonts w:ascii="仿宋_GB2312" w:hAnsi="仿宋_GB2312" w:cs="仿宋_GB2312" w:eastAsia="仿宋_GB2312"/>
                <w:b/>
              </w:rPr>
              <w:t>三、交付与验收要求</w:t>
            </w:r>
          </w:p>
          <w:p>
            <w:pPr>
              <w:pStyle w:val="null3"/>
              <w:ind w:firstLine="560"/>
            </w:pPr>
            <w:r>
              <w:rPr>
                <w:rFonts w:ascii="仿宋_GB2312" w:hAnsi="仿宋_GB2312" w:cs="仿宋_GB2312" w:eastAsia="仿宋_GB2312"/>
              </w:rPr>
              <w:t>（一）交付与验收严格依照《野生动物收容救护管理办法》、《陆生野生动物疫源疫病监测技术规范》及项目协议约定执行。验收重点核查巡护频次达标率、应急响应时效、收容救护闭环管理质量、宣传物料是否按约定参数完成设计制作及交付。成交供应商须配合验收，对问题及时整改。</w:t>
            </w:r>
          </w:p>
          <w:p>
            <w:pPr>
              <w:pStyle w:val="null3"/>
              <w:ind w:firstLine="560"/>
            </w:pPr>
            <w:r>
              <w:rPr>
                <w:rFonts w:ascii="仿宋_GB2312" w:hAnsi="仿宋_GB2312" w:cs="仿宋_GB2312" w:eastAsia="仿宋_GB2312"/>
              </w:rPr>
              <w:t xml:space="preserve">（二）提交规范要求：监测与收容救护材料需同步提交纸质版（一式2套，加盖公章、按规定装订）及电子版（1套，含PDF版及可编辑版）。所有材料须规范完整、内容准确、格式统一，满足归档核查要求。    </w:t>
            </w:r>
          </w:p>
          <w:p>
            <w:pPr>
              <w:pStyle w:val="null3"/>
              <w:ind w:firstLine="562"/>
            </w:pPr>
            <w:r>
              <w:rPr>
                <w:rFonts w:ascii="仿宋_GB2312" w:hAnsi="仿宋_GB2312" w:cs="仿宋_GB2312" w:eastAsia="仿宋_GB2312"/>
                <w:b/>
              </w:rPr>
              <w:t>四、商务要求</w:t>
            </w:r>
          </w:p>
          <w:p>
            <w:pPr>
              <w:pStyle w:val="null3"/>
              <w:ind w:firstLine="560"/>
            </w:pPr>
            <w:r>
              <w:rPr>
                <w:rFonts w:ascii="仿宋_GB2312" w:hAnsi="仿宋_GB2312" w:cs="仿宋_GB2312" w:eastAsia="仿宋_GB2312"/>
              </w:rPr>
              <w:t>（一）服务期：自合同签订之日起1年。</w:t>
            </w:r>
          </w:p>
          <w:p>
            <w:pPr>
              <w:pStyle w:val="null3"/>
              <w:ind w:firstLine="560"/>
            </w:pPr>
            <w:r>
              <w:rPr>
                <w:rFonts w:ascii="仿宋_GB2312" w:hAnsi="仿宋_GB2312" w:cs="仿宋_GB2312" w:eastAsia="仿宋_GB2312"/>
              </w:rPr>
              <w:t>（二）服务地点：西安高新区范围内，具体以采购人指定地点为准。</w:t>
            </w:r>
          </w:p>
          <w:p>
            <w:pPr>
              <w:pStyle w:val="null3"/>
              <w:ind w:firstLine="562"/>
            </w:pPr>
            <w:r>
              <w:rPr>
                <w:rFonts w:ascii="仿宋_GB2312" w:hAnsi="仿宋_GB2312" w:cs="仿宋_GB2312" w:eastAsia="仿宋_GB2312"/>
                <w:b/>
              </w:rPr>
              <w:t>五、其他要求</w:t>
            </w:r>
          </w:p>
          <w:p>
            <w:pPr>
              <w:pStyle w:val="null3"/>
              <w:ind w:firstLine="560"/>
            </w:pPr>
            <w:r>
              <w:rPr>
                <w:rFonts w:ascii="仿宋_GB2312" w:hAnsi="仿宋_GB2312" w:cs="仿宋_GB2312" w:eastAsia="仿宋_GB2312"/>
              </w:rPr>
              <w:t>（一）供应商从业人员须具备野生动物物种鉴别能力，熟悉鸟类等野生动物习性特征，有陆生野生动物疫病监测与收容救护类似工作经验的优先。</w:t>
            </w:r>
          </w:p>
          <w:p>
            <w:pPr>
              <w:pStyle w:val="null3"/>
            </w:pPr>
            <w:r>
              <w:rPr>
                <w:rFonts w:ascii="仿宋_GB2312" w:hAnsi="仿宋_GB2312" w:cs="仿宋_GB2312" w:eastAsia="仿宋_GB2312"/>
                <w:color w:val="000000"/>
              </w:rPr>
              <w:t xml:space="preserve">    （二）</w:t>
            </w:r>
            <w:r>
              <w:rPr>
                <w:rFonts w:ascii="仿宋_GB2312" w:hAnsi="仿宋_GB2312" w:cs="仿宋_GB2312" w:eastAsia="仿宋_GB2312"/>
                <w:color w:val="000000"/>
              </w:rPr>
              <w:t>供应商</w:t>
            </w:r>
            <w:r>
              <w:rPr>
                <w:rFonts w:ascii="仿宋_GB2312" w:hAnsi="仿宋_GB2312" w:cs="仿宋_GB2312" w:eastAsia="仿宋_GB2312"/>
                <w:color w:val="000000"/>
              </w:rPr>
              <w:t>具有</w:t>
            </w:r>
            <w:r>
              <w:rPr>
                <w:rFonts w:ascii="仿宋_GB2312" w:hAnsi="仿宋_GB2312" w:cs="仿宋_GB2312" w:eastAsia="仿宋_GB2312"/>
                <w:color w:val="000000"/>
              </w:rPr>
              <w:t>固定的野生动物收容场所，需配备专职救护、养护人员及兽医，具备动物基础诊疗手段；收容动物笼舍需实行分区管理，满足收容救护规范要求</w:t>
            </w:r>
            <w:r>
              <w:rPr>
                <w:rFonts w:ascii="仿宋_GB2312" w:hAnsi="仿宋_GB2312" w:cs="仿宋_GB2312" w:eastAsia="仿宋_GB2312"/>
                <w:color w:val="000000"/>
              </w:rPr>
              <w:t>。</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西安高新区范围内，具体以采购人指定地点为准。</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完成合同约定的所有工作，并提交成果资料经验收合格后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所属行业为：其他未列明行业（根据《中小企业划型标准规定》（工信部联企业〔2011〕300号），其他未列明行业划分标准为“从业人员300人以下的为中小微型企业。其中，从业人员100人及以上的为中型企业；从业人员10人及以上的为小型企业；从业人员10人以下的为微型企业”）。（2）因系统格式设置无法调整，合同付款支付要求以第八章“拟签订采购合同文本”中体现的内容为准。（3）成交供应商在领取成交通知书前，须向采购代理机构提供纸质版响应文件3套（一正两副），且提供的响应文件必须与在陕西省政府采购综合管理平台的项目电子化交易系统中递交的电子响应文件内容一致，纸质版响应文件必须装订成册签字盖章。（4）如磋商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供应商需在项目电子化交易系统中按要求上传基本资格条件承诺函并进行电子签章。</w:t>
            </w:r>
          </w:p>
        </w:tc>
        <w:tc>
          <w:tcPr>
            <w:tcW w:type="dxa" w:w="1661"/>
          </w:tcPr>
          <w:p>
            <w:pPr>
              <w:pStyle w:val="null3"/>
            </w:pPr>
            <w:r>
              <w:rPr>
                <w:rFonts w:ascii="仿宋_GB2312" w:hAnsi="仿宋_GB2312" w:cs="仿宋_GB2312" w:eastAsia="仿宋_GB2312"/>
              </w:rPr>
              <w:t>基本资格条件承诺函.docx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提供身份证。若是分支机构参与投标，须提供总公司和分支机构的营业执照。</w:t>
            </w:r>
          </w:p>
        </w:tc>
        <w:tc>
          <w:tcPr>
            <w:tcW w:type="dxa" w:w="1661"/>
          </w:tcPr>
          <w:p>
            <w:pPr>
              <w:pStyle w:val="null3"/>
            </w:pPr>
            <w:r>
              <w:rPr>
                <w:rFonts w:ascii="仿宋_GB2312" w:hAnsi="仿宋_GB2312" w:cs="仿宋_GB2312" w:eastAsia="仿宋_GB2312"/>
              </w:rPr>
              <w:t>具有独立承担民事责任能力.docx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法定代表人身份证明或法定代表人授权委托书.docx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供应商须具备有效的省级及以上《陆生野生动物人工繁育许可证》。</w:t>
            </w:r>
          </w:p>
        </w:tc>
        <w:tc>
          <w:tcPr>
            <w:tcW w:type="dxa" w:w="1661"/>
          </w:tcPr>
          <w:p>
            <w:pPr>
              <w:pStyle w:val="null3"/>
            </w:pPr>
            <w:r>
              <w:rPr>
                <w:rFonts w:ascii="仿宋_GB2312" w:hAnsi="仿宋_GB2312" w:cs="仿宋_GB2312" w:eastAsia="仿宋_GB2312"/>
              </w:rPr>
              <w:t>企业资质.docx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供应商未列入“失信被执行人”、“重大税收违法案件当事人名单”和“政府采购严重违法失信行为记录名单”。</w:t>
            </w:r>
          </w:p>
        </w:tc>
        <w:tc>
          <w:tcPr>
            <w:tcW w:type="dxa" w:w="1661"/>
          </w:tcPr>
          <w:p>
            <w:pPr>
              <w:pStyle w:val="null3"/>
            </w:pPr>
            <w:r>
              <w:rPr>
                <w:rFonts w:ascii="仿宋_GB2312" w:hAnsi="仿宋_GB2312" w:cs="仿宋_GB2312" w:eastAsia="仿宋_GB2312"/>
              </w:rPr>
              <w:t>信誉要求.docx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与所投项目名称、项目编号一致，且符合磋商文件签署盖章要求。</w:t>
            </w:r>
          </w:p>
        </w:tc>
        <w:tc>
          <w:tcPr>
            <w:tcW w:type="dxa" w:w="1661"/>
          </w:tcPr>
          <w:p>
            <w:pPr>
              <w:pStyle w:val="null3"/>
            </w:pPr>
            <w:r>
              <w:rPr>
                <w:rFonts w:ascii="仿宋_GB2312" w:hAnsi="仿宋_GB2312" w:cs="仿宋_GB2312" w:eastAsia="仿宋_GB2312"/>
              </w:rPr>
              <w:t>响应文件封面.docx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（1）报价唯一； （2）报价货币符合磋商文件要求; （3）未超出采购预算或磋商文件规定的最高限价。</w:t>
            </w:r>
          </w:p>
        </w:tc>
        <w:tc>
          <w:tcPr>
            <w:tcW w:type="dxa" w:w="1661"/>
          </w:tcPr>
          <w:p>
            <w:pPr>
              <w:pStyle w:val="null3"/>
            </w:pPr>
            <w:r>
              <w:rPr>
                <w:rFonts w:ascii="仿宋_GB2312" w:hAnsi="仿宋_GB2312" w:cs="仿宋_GB2312" w:eastAsia="仿宋_GB2312"/>
              </w:rPr>
              <w:t>费用组成明细表.docx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从递交响应文件的截止之日起算不少于90个日历日。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响应磋商文件合同条款未出现负偏离且响应的内容中未附有采购人不能接受的附加条件。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总体理解及认识</w:t>
            </w:r>
          </w:p>
        </w:tc>
        <w:tc>
          <w:tcPr>
            <w:tcW w:type="dxa" w:w="2492"/>
          </w:tcPr>
          <w:p>
            <w:pPr>
              <w:pStyle w:val="null3"/>
            </w:pPr>
            <w:r>
              <w:rPr>
                <w:rFonts w:ascii="仿宋_GB2312" w:hAnsi="仿宋_GB2312" w:cs="仿宋_GB2312" w:eastAsia="仿宋_GB2312"/>
              </w:rPr>
              <w:t>内容至少包括①总体理解；②背景分析及服务标准；③重难点分析及解决措施等。 评审标准：总体理解及认识各部分内容全面详细、阐述条理清晰详尽、符合本项目采购需求得6分，每缺一项内容扣2分，评审内容有瑕疵的根据情况扣分，扣完为止。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内容至少包括①总体服务方案；②陆生野生动物疫病监测巡护方案；③陆生野生动物收容救护方案；④科普宣传及培训方案等。 评审标准：服务方案各部分内容全面详细、阐述条理清晰详尽、符合本项目采购需求得20分，每缺一项内容扣5分，评审内容有瑕疵的根据情况扣分，扣完为止。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内容至少包括①业务质量控制制度；②档案管理制度；③风险控制制度；④保密制度（保密手段、人员保密管理、保密承诺等）等。 评审标准：管理制度各部分内容全面详细、阐述条理清晰详尽、符合本项目采购需求得12分，每缺一项内容扣3分，评审内容有瑕疵的根据情况扣分，扣完为止。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项目保障措施方案</w:t>
            </w:r>
          </w:p>
        </w:tc>
        <w:tc>
          <w:tcPr>
            <w:tcW w:type="dxa" w:w="2492"/>
          </w:tcPr>
          <w:p>
            <w:pPr>
              <w:pStyle w:val="null3"/>
            </w:pPr>
            <w:r>
              <w:rPr>
                <w:rFonts w:ascii="仿宋_GB2312" w:hAnsi="仿宋_GB2312" w:cs="仿宋_GB2312" w:eastAsia="仿宋_GB2312"/>
              </w:rPr>
              <w:t>内容至少包括①项目进度保障措施；②成果保障措施；③安全保障措施等。 评审标准：项目保障措施方案各部分内容全面详细、阐述条理清晰详尽、符合本项目采购需求得9分，每缺一项内容扣3分，评审内容有瑕疵的根据情况扣分，扣完为止。。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拟投入人员配备方案</w:t>
            </w:r>
          </w:p>
        </w:tc>
        <w:tc>
          <w:tcPr>
            <w:tcW w:type="dxa" w:w="2492"/>
          </w:tcPr>
          <w:p>
            <w:pPr>
              <w:pStyle w:val="null3"/>
            </w:pPr>
            <w:r>
              <w:rPr>
                <w:rFonts w:ascii="仿宋_GB2312" w:hAnsi="仿宋_GB2312" w:cs="仿宋_GB2312" w:eastAsia="仿宋_GB2312"/>
              </w:rPr>
              <w:t>内容至少包括①团队人员配置清单（配备专职救护、养护人员及兽医）；②团队人员管理制度；③各专业岗位分工（具备野生动物物种鉴别能力，熟悉鸟类等野生动物习性特征）；④配置人员资格、职称及工作经验等。 评审标准：拟投入人员配备方案各部分内容全面详细、阐述条理清晰详尽、符合本项目采购需求得16分，每缺一项内容扣4分，评审内容有瑕疵的根据情况扣分，扣完为止。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突发事件应急预案</w:t>
            </w:r>
          </w:p>
        </w:tc>
        <w:tc>
          <w:tcPr>
            <w:tcW w:type="dxa" w:w="2492"/>
          </w:tcPr>
          <w:p>
            <w:pPr>
              <w:pStyle w:val="null3"/>
            </w:pPr>
            <w:r>
              <w:rPr>
                <w:rFonts w:ascii="仿宋_GB2312" w:hAnsi="仿宋_GB2312" w:cs="仿宋_GB2312" w:eastAsia="仿宋_GB2312"/>
              </w:rPr>
              <w:t>内容至少包括①应急响应安排及措施；②应急演练方案；③应急常识宣传等。 评审标准：突发事件应急预案各部分内容全面详细、阐述条理清晰详尽、符合本项目采购需求得9分，每缺一项内容扣3分，评审内容有瑕疵的根据情况扣分，扣完为止。。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内容至少包括①服务质量；②服务响应时间；③成果文件交付；④服务期内团队稳定性等。 评审标准：服务承诺各部分内容全面详细、阐述条理清晰详尽、符合本项目采购需求得8分，每缺一项内容扣2分，评审内容有瑕疵的根据情况扣分，扣完为止。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供应商提供2023年01月01日至今（以合同签订时间为准）的同类项目业绩，每提供一份得2分，满分10分。 注：响应文件中提供合同复印件加盖供应商公章。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业绩的有关证明材料.docx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满足磋商文件要求且最后报价最低的价格为评审基准价，其价格分为满分。其他供应商的价格分统一按照下列公式计算：最后报价得分=(评审基准价／最后报价)×价格权值×100。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费用组成明细表.docx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详见附件：响应文件封面.docx</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详见附件：费用组成明细表.docx</w:t>
      </w:r>
    </w:p>
    <w:p>
      <w:pPr>
        <w:pStyle w:val="null3"/>
        <w:ind w:firstLine="960"/>
      </w:pPr>
      <w:r>
        <w:rPr>
          <w:rFonts w:ascii="仿宋_GB2312" w:hAnsi="仿宋_GB2312" w:cs="仿宋_GB2312" w:eastAsia="仿宋_GB2312"/>
        </w:rPr>
        <w:t>详见附件：基本资格条件承诺函.docx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详见附件：具有独立承担民事责任能力.docx</w:t>
      </w:r>
    </w:p>
    <w:p>
      <w:pPr>
        <w:pStyle w:val="null3"/>
        <w:ind w:firstLine="960"/>
      </w:pPr>
      <w:r>
        <w:rPr>
          <w:rFonts w:ascii="仿宋_GB2312" w:hAnsi="仿宋_GB2312" w:cs="仿宋_GB2312" w:eastAsia="仿宋_GB2312"/>
        </w:rPr>
        <w:t>详见附件：法定代表人身份证明或法定代表人授权委托书.docx</w:t>
      </w:r>
    </w:p>
    <w:p>
      <w:pPr>
        <w:pStyle w:val="null3"/>
        <w:ind w:firstLine="960"/>
      </w:pPr>
      <w:r>
        <w:rPr>
          <w:rFonts w:ascii="仿宋_GB2312" w:hAnsi="仿宋_GB2312" w:cs="仿宋_GB2312" w:eastAsia="仿宋_GB2312"/>
        </w:rPr>
        <w:t>详见附件：企业资质.docx</w:t>
      </w:r>
    </w:p>
    <w:p>
      <w:pPr>
        <w:pStyle w:val="null3"/>
        <w:ind w:firstLine="960"/>
      </w:pPr>
      <w:r>
        <w:rPr>
          <w:rFonts w:ascii="仿宋_GB2312" w:hAnsi="仿宋_GB2312" w:cs="仿宋_GB2312" w:eastAsia="仿宋_GB2312"/>
        </w:rPr>
        <w:t>详见附件：信誉要求.docx</w:t>
      </w:r>
    </w:p>
    <w:p>
      <w:pPr>
        <w:pStyle w:val="null3"/>
        <w:ind w:firstLine="960"/>
      </w:pPr>
      <w:r>
        <w:rPr>
          <w:rFonts w:ascii="仿宋_GB2312" w:hAnsi="仿宋_GB2312" w:cs="仿宋_GB2312" w:eastAsia="仿宋_GB2312"/>
        </w:rPr>
        <w:t>详见附件：合同条款响应偏离表.docx</w:t>
      </w:r>
    </w:p>
    <w:p>
      <w:pPr>
        <w:pStyle w:val="null3"/>
        <w:ind w:firstLine="960"/>
      </w:pPr>
      <w:r>
        <w:rPr>
          <w:rFonts w:ascii="仿宋_GB2312" w:hAnsi="仿宋_GB2312" w:cs="仿宋_GB2312" w:eastAsia="仿宋_GB2312"/>
        </w:rPr>
        <w:t>详见附件：服务方案响应说明.docx</w:t>
      </w:r>
    </w:p>
    <w:p>
      <w:pPr>
        <w:pStyle w:val="null3"/>
        <w:ind w:firstLine="960"/>
      </w:pPr>
      <w:r>
        <w:rPr>
          <w:rFonts w:ascii="仿宋_GB2312" w:hAnsi="仿宋_GB2312" w:cs="仿宋_GB2312" w:eastAsia="仿宋_GB2312"/>
        </w:rPr>
        <w:t>详见附件：业绩的有关证明材料.docx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