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18C554">
      <w:pPr>
        <w:pStyle w:val="12"/>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outlineLvl w:val="0"/>
        <w:rPr>
          <w:rFonts w:hint="eastAsia" w:ascii="仿宋" w:hAnsi="仿宋" w:eastAsia="仿宋" w:cs="仿宋"/>
          <w:b/>
          <w:sz w:val="36"/>
          <w:highlight w:val="none"/>
        </w:rPr>
      </w:pPr>
      <w:bookmarkStart w:id="0" w:name="_Toc5723"/>
      <w:bookmarkStart w:id="1" w:name="_Toc8431"/>
      <w:r>
        <w:rPr>
          <w:rFonts w:hint="eastAsia" w:ascii="仿宋" w:hAnsi="仿宋" w:eastAsia="仿宋" w:cs="仿宋"/>
          <w:b/>
          <w:sz w:val="36"/>
          <w:highlight w:val="none"/>
        </w:rPr>
        <w:t>拟签订采购合同文本</w:t>
      </w:r>
      <w:bookmarkEnd w:id="0"/>
      <w:bookmarkEnd w:id="1"/>
      <w:bookmarkStart w:id="2" w:name="_GoBack"/>
      <w:bookmarkEnd w:id="2"/>
    </w:p>
    <w:p w14:paraId="5BAE11B8">
      <w:pPr>
        <w:tabs>
          <w:tab w:val="left" w:pos="735"/>
        </w:tabs>
        <w:autoSpaceDE w:val="0"/>
        <w:autoSpaceDN w:val="0"/>
        <w:adjustRightInd w:val="0"/>
        <w:snapToGrid w:val="0"/>
        <w:spacing w:line="420" w:lineRule="exact"/>
        <w:jc w:val="center"/>
        <w:rPr>
          <w:rFonts w:hint="eastAsia" w:ascii="仿宋" w:hAnsi="仿宋" w:eastAsia="仿宋" w:cs="仿宋"/>
          <w:b/>
          <w:bCs/>
          <w:sz w:val="20"/>
          <w:highlight w:val="none"/>
          <w:lang w:val="zh-CN"/>
        </w:rPr>
      </w:pPr>
      <w:r>
        <w:rPr>
          <w:rFonts w:hint="eastAsia" w:ascii="仿宋" w:hAnsi="仿宋" w:eastAsia="仿宋" w:cs="仿宋"/>
          <w:b/>
          <w:sz w:val="20"/>
          <w:highlight w:val="none"/>
          <w:lang w:val="zh-CN"/>
        </w:rPr>
        <w:t>（此合同草案条款，最终签订的合同以采购人确定的合同内容为准）</w:t>
      </w:r>
    </w:p>
    <w:p w14:paraId="736472BB">
      <w:pPr>
        <w:pStyle w:val="12"/>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outlineLvl w:val="0"/>
        <w:rPr>
          <w:rFonts w:hint="eastAsia" w:ascii="仿宋" w:hAnsi="仿宋" w:eastAsia="仿宋" w:cs="仿宋"/>
          <w:b/>
          <w:sz w:val="36"/>
          <w:highlight w:val="none"/>
        </w:rPr>
      </w:pPr>
    </w:p>
    <w:p w14:paraId="4C8F8E3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000000"/>
          <w:sz w:val="40"/>
          <w:szCs w:val="40"/>
          <w:highlight w:val="none"/>
        </w:rPr>
      </w:pPr>
    </w:p>
    <w:p w14:paraId="573DD54A">
      <w:pPr>
        <w:pStyle w:val="12"/>
        <w:keepNext w:val="0"/>
        <w:keepLines w:val="0"/>
        <w:pageBreakBefore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sz w:val="48"/>
          <w:szCs w:val="32"/>
          <w:highlight w:val="none"/>
          <w:lang w:eastAsia="zh-CN"/>
        </w:rPr>
      </w:pPr>
      <w:r>
        <w:rPr>
          <w:rFonts w:hint="eastAsia" w:ascii="仿宋" w:hAnsi="仿宋" w:eastAsia="仿宋" w:cs="仿宋"/>
          <w:b/>
          <w:sz w:val="48"/>
          <w:szCs w:val="32"/>
          <w:highlight w:val="none"/>
          <w:lang w:eastAsia="zh-CN"/>
        </w:rPr>
        <w:t>西安高新区第二十四小学</w:t>
      </w:r>
    </w:p>
    <w:p w14:paraId="3BA0AE81">
      <w:pPr>
        <w:pStyle w:val="12"/>
        <w:keepNext w:val="0"/>
        <w:keepLines w:val="0"/>
        <w:pageBreakBefore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sz w:val="48"/>
          <w:szCs w:val="32"/>
          <w:highlight w:val="none"/>
          <w:lang w:eastAsia="zh-CN"/>
        </w:rPr>
      </w:pPr>
      <w:r>
        <w:rPr>
          <w:rFonts w:hint="eastAsia" w:ascii="仿宋" w:hAnsi="仿宋" w:eastAsia="仿宋" w:cs="仿宋"/>
          <w:b/>
          <w:sz w:val="48"/>
          <w:szCs w:val="32"/>
          <w:highlight w:val="none"/>
          <w:lang w:eastAsia="zh-CN"/>
        </w:rPr>
        <w:t>后勤服务外包</w:t>
      </w:r>
    </w:p>
    <w:p w14:paraId="3C5527A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000000"/>
          <w:sz w:val="44"/>
          <w:szCs w:val="44"/>
          <w:highlight w:val="none"/>
        </w:rPr>
      </w:pPr>
    </w:p>
    <w:p w14:paraId="254C1C89">
      <w:pPr>
        <w:pStyle w:val="8"/>
        <w:rPr>
          <w:rFonts w:hint="eastAsia" w:ascii="仿宋" w:hAnsi="仿宋" w:eastAsia="仿宋" w:cs="仿宋"/>
          <w:highlight w:val="none"/>
          <w:lang w:eastAsia="zh-CN"/>
        </w:rPr>
      </w:pPr>
    </w:p>
    <w:p w14:paraId="167A263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000000"/>
          <w:sz w:val="72"/>
          <w:szCs w:val="72"/>
          <w:highlight w:val="none"/>
        </w:rPr>
      </w:pPr>
      <w:r>
        <w:rPr>
          <w:rFonts w:hint="eastAsia" w:ascii="仿宋" w:hAnsi="仿宋" w:eastAsia="仿宋" w:cs="仿宋"/>
          <w:b/>
          <w:color w:val="000000"/>
          <w:sz w:val="72"/>
          <w:szCs w:val="72"/>
          <w:highlight w:val="none"/>
        </w:rPr>
        <w:t>服 务 合 同</w:t>
      </w:r>
    </w:p>
    <w:p w14:paraId="5341D35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合同编号：</w:t>
      </w:r>
    </w:p>
    <w:p w14:paraId="398EECE1">
      <w:pPr>
        <w:keepNext w:val="0"/>
        <w:keepLines w:val="0"/>
        <w:pageBreakBefore w:val="0"/>
        <w:kinsoku/>
        <w:wordWrap/>
        <w:overflowPunct/>
        <w:topLinePunct w:val="0"/>
        <w:autoSpaceDE/>
        <w:autoSpaceDN/>
        <w:bidi w:val="0"/>
        <w:adjustRightInd/>
        <w:snapToGrid/>
        <w:spacing w:line="360" w:lineRule="auto"/>
        <w:ind w:firstLine="2951" w:firstLineChars="1050"/>
        <w:textAlignment w:val="auto"/>
        <w:rPr>
          <w:rFonts w:hint="eastAsia" w:ascii="仿宋" w:hAnsi="仿宋" w:eastAsia="仿宋" w:cs="仿宋"/>
          <w:b/>
          <w:color w:val="000000"/>
          <w:sz w:val="28"/>
          <w:szCs w:val="28"/>
          <w:highlight w:val="none"/>
        </w:rPr>
      </w:pPr>
    </w:p>
    <w:p w14:paraId="30313D6E">
      <w:pPr>
        <w:keepNext w:val="0"/>
        <w:keepLines w:val="0"/>
        <w:pageBreakBefore w:val="0"/>
        <w:kinsoku/>
        <w:wordWrap/>
        <w:overflowPunct/>
        <w:topLinePunct w:val="0"/>
        <w:autoSpaceDE/>
        <w:autoSpaceDN/>
        <w:bidi w:val="0"/>
        <w:adjustRightInd/>
        <w:snapToGrid/>
        <w:spacing w:line="360" w:lineRule="auto"/>
        <w:ind w:firstLine="2951" w:firstLineChars="1050"/>
        <w:textAlignment w:val="auto"/>
        <w:rPr>
          <w:rFonts w:hint="eastAsia" w:ascii="仿宋" w:hAnsi="仿宋" w:eastAsia="仿宋" w:cs="仿宋"/>
          <w:b/>
          <w:color w:val="000000"/>
          <w:sz w:val="28"/>
          <w:szCs w:val="28"/>
          <w:highlight w:val="none"/>
        </w:rPr>
      </w:pPr>
    </w:p>
    <w:p w14:paraId="1B7FDE18">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sz w:val="32"/>
          <w:szCs w:val="32"/>
          <w:highlight w:val="none"/>
        </w:rPr>
      </w:pPr>
    </w:p>
    <w:p w14:paraId="4C42B324">
      <w:pPr>
        <w:pStyle w:val="6"/>
        <w:rPr>
          <w:rFonts w:hint="eastAsia" w:ascii="仿宋" w:hAnsi="仿宋" w:eastAsia="仿宋" w:cs="仿宋"/>
          <w:highlight w:val="none"/>
        </w:rPr>
      </w:pPr>
    </w:p>
    <w:p w14:paraId="312BA11C">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sz w:val="32"/>
          <w:szCs w:val="32"/>
          <w:highlight w:val="none"/>
        </w:rPr>
      </w:pPr>
    </w:p>
    <w:p w14:paraId="3AC6A502">
      <w:pPr>
        <w:keepNext w:val="0"/>
        <w:keepLines w:val="0"/>
        <w:pageBreakBefore w:val="0"/>
        <w:kinsoku/>
        <w:wordWrap/>
        <w:overflowPunct/>
        <w:topLinePunct w:val="0"/>
        <w:autoSpaceDE/>
        <w:autoSpaceDN/>
        <w:bidi w:val="0"/>
        <w:adjustRightInd/>
        <w:snapToGrid/>
        <w:spacing w:line="360" w:lineRule="auto"/>
        <w:ind w:firstLine="1928" w:firstLineChars="600"/>
        <w:textAlignment w:val="auto"/>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rPr>
        <w:t>甲 方：</w:t>
      </w:r>
      <w:r>
        <w:rPr>
          <w:rFonts w:hint="eastAsia" w:ascii="仿宋" w:hAnsi="仿宋" w:eastAsia="仿宋" w:cs="仿宋"/>
          <w:b/>
          <w:sz w:val="32"/>
          <w:szCs w:val="32"/>
          <w:highlight w:val="none"/>
          <w:u w:val="single"/>
          <w:lang w:eastAsia="zh-CN"/>
        </w:rPr>
        <w:t>西安高新区第二十四小学</w:t>
      </w:r>
    </w:p>
    <w:p w14:paraId="52A3CA34">
      <w:pPr>
        <w:keepNext w:val="0"/>
        <w:keepLines w:val="0"/>
        <w:pageBreakBefore w:val="0"/>
        <w:kinsoku/>
        <w:wordWrap/>
        <w:overflowPunct/>
        <w:topLinePunct w:val="0"/>
        <w:autoSpaceDE/>
        <w:autoSpaceDN/>
        <w:bidi w:val="0"/>
        <w:adjustRightInd/>
        <w:snapToGrid/>
        <w:spacing w:line="360" w:lineRule="auto"/>
        <w:ind w:firstLine="1928" w:firstLineChars="600"/>
        <w:textAlignment w:val="auto"/>
        <w:rPr>
          <w:rFonts w:hint="eastAsia" w:ascii="仿宋" w:hAnsi="仿宋" w:eastAsia="仿宋" w:cs="仿宋"/>
          <w:b/>
          <w:sz w:val="32"/>
          <w:szCs w:val="32"/>
          <w:highlight w:val="none"/>
          <w:u w:val="single"/>
        </w:rPr>
      </w:pPr>
      <w:r>
        <w:rPr>
          <w:rFonts w:hint="eastAsia" w:ascii="仿宋" w:hAnsi="仿宋" w:eastAsia="仿宋" w:cs="仿宋"/>
          <w:b/>
          <w:sz w:val="32"/>
          <w:szCs w:val="32"/>
          <w:highlight w:val="none"/>
        </w:rPr>
        <w:t>乙 方：</w:t>
      </w:r>
      <w:r>
        <w:rPr>
          <w:rFonts w:hint="eastAsia" w:ascii="仿宋" w:hAnsi="仿宋" w:eastAsia="仿宋" w:cs="仿宋"/>
          <w:sz w:val="32"/>
          <w:szCs w:val="32"/>
          <w:highlight w:val="none"/>
          <w:u w:val="single"/>
        </w:rPr>
        <w:t xml:space="preserve">              </w:t>
      </w:r>
    </w:p>
    <w:p w14:paraId="75F36361">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u w:val="single"/>
        </w:rPr>
      </w:pPr>
    </w:p>
    <w:p w14:paraId="48E2CB80">
      <w:pPr>
        <w:keepNext w:val="0"/>
        <w:keepLines w:val="0"/>
        <w:pageBreakBefore w:val="0"/>
        <w:kinsoku/>
        <w:wordWrap/>
        <w:overflowPunct/>
        <w:topLinePunct w:val="0"/>
        <w:autoSpaceDE/>
        <w:autoSpaceDN/>
        <w:bidi w:val="0"/>
        <w:adjustRightInd w:val="0"/>
        <w:snapToGrid w:val="0"/>
        <w:spacing w:line="360" w:lineRule="auto"/>
        <w:ind w:firstLine="402" w:firstLineChars="200"/>
        <w:textAlignment w:val="baseline"/>
        <w:rPr>
          <w:rFonts w:hint="eastAsia" w:ascii="仿宋" w:hAnsi="仿宋" w:eastAsia="仿宋" w:cs="仿宋"/>
          <w:b/>
          <w:sz w:val="20"/>
          <w:szCs w:val="20"/>
          <w:highlight w:val="none"/>
          <w:lang w:val="en-US" w:eastAsia="zh-CN"/>
        </w:rPr>
      </w:pPr>
    </w:p>
    <w:p w14:paraId="1EECC79B">
      <w:pPr>
        <w:keepNext w:val="0"/>
        <w:keepLines w:val="0"/>
        <w:pageBreakBefore w:val="0"/>
        <w:kinsoku/>
        <w:wordWrap/>
        <w:overflowPunct/>
        <w:topLinePunct w:val="0"/>
        <w:autoSpaceDE/>
        <w:autoSpaceDN/>
        <w:bidi w:val="0"/>
        <w:adjustRightInd w:val="0"/>
        <w:snapToGrid w:val="0"/>
        <w:spacing w:line="360" w:lineRule="auto"/>
        <w:ind w:firstLine="402" w:firstLineChars="200"/>
        <w:textAlignment w:val="baseline"/>
        <w:rPr>
          <w:rFonts w:hint="eastAsia" w:ascii="仿宋" w:hAnsi="仿宋" w:eastAsia="仿宋" w:cs="仿宋"/>
          <w:b/>
          <w:sz w:val="20"/>
          <w:szCs w:val="20"/>
          <w:highlight w:val="none"/>
          <w:lang w:val="en-US" w:eastAsia="zh-CN"/>
        </w:rPr>
      </w:pPr>
    </w:p>
    <w:p w14:paraId="22DC287D">
      <w:pPr>
        <w:pStyle w:val="6"/>
        <w:rPr>
          <w:rFonts w:hint="eastAsia" w:ascii="仿宋" w:hAnsi="仿宋" w:eastAsia="仿宋" w:cs="仿宋"/>
          <w:b/>
          <w:sz w:val="20"/>
          <w:szCs w:val="20"/>
          <w:highlight w:val="none"/>
          <w:lang w:val="en-US" w:eastAsia="zh-CN"/>
        </w:rPr>
      </w:pPr>
    </w:p>
    <w:p w14:paraId="45246D50">
      <w:pPr>
        <w:pStyle w:val="7"/>
        <w:rPr>
          <w:rFonts w:hint="eastAsia" w:ascii="仿宋" w:hAnsi="仿宋" w:eastAsia="仿宋" w:cs="仿宋"/>
          <w:highlight w:val="none"/>
          <w:lang w:val="en-US" w:eastAsia="zh-CN"/>
        </w:rPr>
      </w:pPr>
    </w:p>
    <w:p w14:paraId="72982255">
      <w:pPr>
        <w:keepNext w:val="0"/>
        <w:keepLines w:val="0"/>
        <w:pageBreakBefore w:val="0"/>
        <w:kinsoku/>
        <w:wordWrap/>
        <w:overflowPunct/>
        <w:topLinePunct w:val="0"/>
        <w:autoSpaceDE/>
        <w:autoSpaceDN/>
        <w:bidi w:val="0"/>
        <w:adjustRightInd w:val="0"/>
        <w:snapToGrid w:val="0"/>
        <w:spacing w:line="360" w:lineRule="auto"/>
        <w:ind w:firstLine="402" w:firstLineChars="200"/>
        <w:textAlignment w:val="baseline"/>
        <w:rPr>
          <w:rFonts w:hint="eastAsia" w:ascii="仿宋" w:hAnsi="仿宋" w:eastAsia="仿宋" w:cs="仿宋"/>
          <w:b/>
          <w:sz w:val="20"/>
          <w:szCs w:val="20"/>
          <w:highlight w:val="none"/>
          <w:lang w:val="en-US" w:eastAsia="zh-CN"/>
        </w:rPr>
      </w:pPr>
    </w:p>
    <w:p w14:paraId="23DAA9CA">
      <w:pPr>
        <w:keepNext w:val="0"/>
        <w:keepLines w:val="0"/>
        <w:pageBreakBefore w:val="0"/>
        <w:kinsoku/>
        <w:wordWrap/>
        <w:overflowPunct/>
        <w:topLinePunct w:val="0"/>
        <w:autoSpaceDE/>
        <w:autoSpaceDN/>
        <w:bidi w:val="0"/>
        <w:adjustRightInd w:val="0"/>
        <w:snapToGrid w:val="0"/>
        <w:spacing w:line="360" w:lineRule="auto"/>
        <w:ind w:firstLine="402" w:firstLineChars="200"/>
        <w:textAlignment w:val="baseline"/>
        <w:rPr>
          <w:rFonts w:hint="eastAsia" w:ascii="仿宋" w:hAnsi="仿宋" w:eastAsia="仿宋" w:cs="仿宋"/>
          <w:b/>
          <w:sz w:val="20"/>
          <w:szCs w:val="20"/>
          <w:highlight w:val="none"/>
          <w:lang w:val="en-US" w:eastAsia="zh-CN"/>
        </w:rPr>
      </w:pPr>
    </w:p>
    <w:p w14:paraId="4C954CDA">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baseline"/>
        <w:rPr>
          <w:rFonts w:hint="eastAsia" w:ascii="仿宋" w:hAnsi="仿宋" w:eastAsia="仿宋" w:cs="仿宋"/>
          <w:b/>
          <w:sz w:val="24"/>
          <w:szCs w:val="24"/>
          <w:highlight w:val="none"/>
          <w:lang w:val="en-US" w:eastAsia="zh-CN"/>
        </w:rPr>
      </w:pPr>
    </w:p>
    <w:p w14:paraId="5CAFA63B">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baseline"/>
        <w:rPr>
          <w:rFonts w:hint="eastAsia" w:ascii="仿宋" w:hAnsi="仿宋" w:eastAsia="仿宋" w:cs="仿宋"/>
          <w:b/>
          <w:bCs/>
          <w:sz w:val="24"/>
          <w:szCs w:val="24"/>
          <w:highlight w:val="none"/>
          <w:lang w:eastAsia="zh-CN"/>
        </w:rPr>
      </w:pPr>
      <w:r>
        <w:rPr>
          <w:rFonts w:hint="eastAsia" w:ascii="仿宋" w:hAnsi="仿宋" w:eastAsia="仿宋" w:cs="仿宋"/>
          <w:b/>
          <w:sz w:val="24"/>
          <w:szCs w:val="24"/>
          <w:highlight w:val="none"/>
          <w:lang w:val="en-US" w:eastAsia="zh-CN"/>
        </w:rPr>
        <w:t>采购人</w:t>
      </w:r>
      <w:r>
        <w:rPr>
          <w:rFonts w:hint="eastAsia" w:ascii="仿宋" w:hAnsi="仿宋" w:eastAsia="仿宋" w:cs="仿宋"/>
          <w:b/>
          <w:sz w:val="24"/>
          <w:szCs w:val="24"/>
          <w:highlight w:val="none"/>
        </w:rPr>
        <w:t>（甲方）</w:t>
      </w:r>
      <w:r>
        <w:rPr>
          <w:rFonts w:hint="eastAsia" w:ascii="仿宋" w:hAnsi="仿宋" w:eastAsia="仿宋" w:cs="仿宋"/>
          <w:sz w:val="24"/>
          <w:szCs w:val="24"/>
          <w:highlight w:val="none"/>
        </w:rPr>
        <w:t>：</w:t>
      </w:r>
      <w:r>
        <w:rPr>
          <w:rFonts w:hint="eastAsia" w:ascii="仿宋" w:hAnsi="仿宋" w:eastAsia="仿宋" w:cs="仿宋"/>
          <w:b/>
          <w:bCs/>
          <w:sz w:val="24"/>
          <w:szCs w:val="24"/>
          <w:highlight w:val="none"/>
          <w:lang w:eastAsia="zh-CN"/>
        </w:rPr>
        <w:t>西安高新区第二十四小学</w:t>
      </w:r>
    </w:p>
    <w:p w14:paraId="40EBFFAD">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baseline"/>
        <w:rPr>
          <w:rFonts w:hint="eastAsia" w:ascii="仿宋" w:hAnsi="仿宋" w:eastAsia="仿宋" w:cs="仿宋"/>
          <w:sz w:val="24"/>
          <w:szCs w:val="24"/>
          <w:highlight w:val="none"/>
          <w:u w:val="single" w:color="000000"/>
        </w:rPr>
      </w:pPr>
      <w:r>
        <w:rPr>
          <w:rFonts w:hint="eastAsia" w:ascii="仿宋" w:hAnsi="仿宋" w:eastAsia="仿宋" w:cs="仿宋"/>
          <w:b/>
          <w:sz w:val="24"/>
          <w:szCs w:val="24"/>
          <w:highlight w:val="none"/>
          <w:lang w:val="en-US" w:eastAsia="zh-CN"/>
        </w:rPr>
        <w:t>供应商</w:t>
      </w:r>
      <w:r>
        <w:rPr>
          <w:rFonts w:hint="eastAsia" w:ascii="仿宋" w:hAnsi="仿宋" w:eastAsia="仿宋" w:cs="仿宋"/>
          <w:b/>
          <w:sz w:val="24"/>
          <w:szCs w:val="24"/>
          <w:highlight w:val="none"/>
        </w:rPr>
        <w:t>（乙方）</w:t>
      </w:r>
      <w:r>
        <w:rPr>
          <w:rFonts w:hint="eastAsia" w:ascii="仿宋" w:hAnsi="仿宋" w:eastAsia="仿宋" w:cs="仿宋"/>
          <w:sz w:val="24"/>
          <w:szCs w:val="24"/>
          <w:highlight w:val="none"/>
        </w:rPr>
        <w:t>：</w:t>
      </w:r>
      <w:r>
        <w:rPr>
          <w:rFonts w:hint="eastAsia" w:ascii="仿宋" w:hAnsi="仿宋" w:eastAsia="仿宋" w:cs="仿宋"/>
          <w:bCs/>
          <w:sz w:val="24"/>
          <w:szCs w:val="24"/>
          <w:highlight w:val="none"/>
          <w:u w:val="single" w:color="000000"/>
        </w:rPr>
        <w:t xml:space="preserve">                              </w:t>
      </w:r>
      <w:r>
        <w:rPr>
          <w:rFonts w:hint="eastAsia" w:ascii="仿宋" w:hAnsi="仿宋" w:eastAsia="仿宋" w:cs="仿宋"/>
          <w:sz w:val="24"/>
          <w:szCs w:val="24"/>
          <w:highlight w:val="none"/>
          <w:u w:val="single" w:color="000000"/>
        </w:rPr>
        <w:t xml:space="preserve">      </w:t>
      </w:r>
    </w:p>
    <w:p w14:paraId="2AE4946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依据《中华人民共和国民法典》和《物业管理条例》以及国家法律、法规的有关规定，经甲乙双方充分协商，就甲方</w:t>
      </w:r>
      <w:r>
        <w:rPr>
          <w:rFonts w:hint="eastAsia" w:ascii="仿宋" w:hAnsi="仿宋" w:eastAsia="仿宋" w:cs="仿宋"/>
          <w:bCs/>
          <w:sz w:val="24"/>
          <w:szCs w:val="24"/>
          <w:highlight w:val="none"/>
          <w:u w:val="single"/>
          <w:lang w:eastAsia="zh-CN"/>
        </w:rPr>
        <w:t>西安高新区第二十四小学后勤服务外包</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事宜达成如下协议，以资双方共同遵守。</w:t>
      </w:r>
    </w:p>
    <w:p w14:paraId="160BDDB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baseline"/>
        <w:rPr>
          <w:rFonts w:hint="eastAsia" w:ascii="仿宋" w:hAnsi="仿宋" w:eastAsia="仿宋" w:cs="仿宋"/>
          <w:sz w:val="24"/>
          <w:szCs w:val="24"/>
          <w:highlight w:val="none"/>
        </w:rPr>
      </w:pPr>
      <w:r>
        <w:rPr>
          <w:rFonts w:hint="eastAsia" w:ascii="仿宋" w:hAnsi="仿宋" w:eastAsia="仿宋" w:cs="仿宋"/>
          <w:b/>
          <w:bCs/>
          <w:sz w:val="24"/>
          <w:szCs w:val="24"/>
          <w:highlight w:val="none"/>
        </w:rPr>
        <w:t>一、服务条件</w:t>
      </w:r>
    </w:p>
    <w:p w14:paraId="50D20CA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baseline"/>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rPr>
        <w:t>（一）服务地点：</w:t>
      </w:r>
      <w:r>
        <w:rPr>
          <w:rFonts w:hint="eastAsia" w:ascii="仿宋" w:hAnsi="仿宋" w:eastAsia="仿宋" w:cs="仿宋"/>
          <w:sz w:val="24"/>
          <w:szCs w:val="24"/>
          <w:highlight w:val="none"/>
          <w:u w:val="single"/>
          <w:lang w:eastAsia="zh-CN"/>
        </w:rPr>
        <w:t>西安高新区第二十四小学</w:t>
      </w:r>
    </w:p>
    <w:p w14:paraId="76E276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（二）服务期：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5D54558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baseline"/>
        <w:rPr>
          <w:rFonts w:hint="eastAsia" w:ascii="仿宋" w:hAnsi="仿宋" w:eastAsia="仿宋" w:cs="仿宋"/>
          <w:b/>
          <w:sz w:val="24"/>
          <w:szCs w:val="24"/>
          <w:highlight w:val="none"/>
        </w:rPr>
      </w:pPr>
      <w:r>
        <w:rPr>
          <w:rFonts w:hint="eastAsia" w:ascii="仿宋" w:hAnsi="仿宋" w:eastAsia="仿宋" w:cs="仿宋"/>
          <w:b/>
          <w:sz w:val="24"/>
          <w:szCs w:val="24"/>
          <w:highlight w:val="none"/>
        </w:rPr>
        <w:t>二、合同价款</w:t>
      </w:r>
    </w:p>
    <w:p w14:paraId="3A864F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（一）合同总价款为人民币（大写）</w:t>
      </w:r>
      <w:r>
        <w:rPr>
          <w:rFonts w:hint="eastAsia" w:ascii="仿宋" w:hAnsi="仿宋" w:eastAsia="仿宋" w:cs="仿宋"/>
          <w:sz w:val="24"/>
          <w:szCs w:val="24"/>
          <w:highlight w:val="none"/>
          <w:u w:val="single" w:color="000000"/>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color="000000"/>
        </w:rPr>
        <w:t xml:space="preserve">      </w:t>
      </w:r>
      <w:r>
        <w:rPr>
          <w:rFonts w:hint="eastAsia" w:ascii="仿宋" w:hAnsi="仿宋" w:eastAsia="仿宋" w:cs="仿宋"/>
          <w:sz w:val="24"/>
          <w:szCs w:val="24"/>
          <w:highlight w:val="none"/>
        </w:rPr>
        <w:t>）</w:t>
      </w:r>
    </w:p>
    <w:p w14:paraId="4ACDC1C2">
      <w:pPr>
        <w:pStyle w:val="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本项目合同执行“一招三签”，即合同一年一签，合同总服务期不超过3年。成交供应商的最终成交金额作为每年度服务期结算价格，校方将依据《服务标准考核细则》每月进行考核，连续两次或累计三次考核不合格，校方有权单方面解除合同。如达到满意标准，经双方协商，可在当年合同期满一个月办理下年度合同续签手续。如因故须终止合同，提出终止的一方应在合同期满前二个月告知对方。</w:t>
      </w:r>
    </w:p>
    <w:p w14:paraId="526678F3">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480" w:firstLineChars="200"/>
        <w:textAlignment w:val="baseline"/>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合同总价包括：完成本项目所需的一切费用，包括但不限于：人员工资、社会保险、福利待遇、管理费、税费、劳保用品、利润、风险等。</w:t>
      </w:r>
    </w:p>
    <w:p w14:paraId="5E27BADD">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合同总价为</w:t>
      </w:r>
      <w:r>
        <w:rPr>
          <w:rFonts w:hint="eastAsia" w:ascii="仿宋" w:hAnsi="仿宋" w:eastAsia="仿宋" w:cs="仿宋"/>
          <w:sz w:val="24"/>
          <w:szCs w:val="24"/>
          <w:highlight w:val="none"/>
          <w:lang w:val="en-US" w:eastAsia="zh-CN"/>
        </w:rPr>
        <w:t>固定总</w:t>
      </w:r>
      <w:r>
        <w:rPr>
          <w:rFonts w:hint="eastAsia" w:ascii="仿宋" w:hAnsi="仿宋" w:eastAsia="仿宋" w:cs="仿宋"/>
          <w:sz w:val="24"/>
          <w:szCs w:val="24"/>
          <w:highlight w:val="none"/>
        </w:rPr>
        <w:t>价，合同期内不受市场价格变化因素的影响。</w:t>
      </w:r>
    </w:p>
    <w:p w14:paraId="245283CB">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baseline"/>
        <w:rPr>
          <w:rFonts w:hint="eastAsia" w:ascii="仿宋" w:hAnsi="仿宋" w:eastAsia="仿宋" w:cs="仿宋"/>
          <w:b/>
          <w:sz w:val="24"/>
          <w:szCs w:val="24"/>
          <w:highlight w:val="none"/>
        </w:rPr>
      </w:pPr>
      <w:r>
        <w:rPr>
          <w:rFonts w:hint="eastAsia" w:ascii="仿宋" w:hAnsi="仿宋" w:eastAsia="仿宋" w:cs="仿宋"/>
          <w:b/>
          <w:sz w:val="24"/>
          <w:szCs w:val="24"/>
          <w:highlight w:val="none"/>
        </w:rPr>
        <w:t>三、付款方式</w:t>
      </w:r>
    </w:p>
    <w:p w14:paraId="14EB640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服务费每季度结算一次，乙方每季度最后一个月月底开具发票，甲方在收到乙方发票后，达到付款条件起 30 日内，支付合同总金额的25.00%。</w:t>
      </w:r>
      <w:r>
        <w:rPr>
          <w:rFonts w:hint="eastAsia" w:ascii="仿宋" w:hAnsi="仿宋" w:eastAsia="仿宋" w:cs="仿宋"/>
          <w:sz w:val="24"/>
          <w:szCs w:val="24"/>
          <w:highlight w:val="none"/>
        </w:rPr>
        <w:t xml:space="preserve">   </w:t>
      </w:r>
    </w:p>
    <w:p w14:paraId="397DF026">
      <w:pPr>
        <w:keepNext w:val="0"/>
        <w:keepLines w:val="0"/>
        <w:pageBreakBefore w:val="0"/>
        <w:kinsoku/>
        <w:wordWrap/>
        <w:overflowPunct/>
        <w:topLinePunct w:val="0"/>
        <w:autoSpaceDE/>
        <w:autoSpaceDN/>
        <w:bidi w:val="0"/>
        <w:adjustRightInd w:val="0"/>
        <w:snapToGrid w:val="0"/>
        <w:spacing w:line="360" w:lineRule="auto"/>
        <w:ind w:firstLine="482" w:firstLineChars="200"/>
        <w:rPr>
          <w:rFonts w:hint="eastAsia" w:ascii="仿宋" w:hAnsi="仿宋" w:eastAsia="仿宋" w:cs="仿宋"/>
          <w:b/>
          <w:bCs/>
          <w:sz w:val="24"/>
          <w:szCs w:val="24"/>
          <w:highlight w:val="none"/>
          <w:u w:val="single"/>
          <w:lang w:val="en-US" w:eastAsia="zh-CN"/>
        </w:rPr>
      </w:pPr>
      <w:r>
        <w:rPr>
          <w:rFonts w:hint="eastAsia" w:ascii="仿宋" w:hAnsi="仿宋" w:eastAsia="仿宋" w:cs="仿宋"/>
          <w:b/>
          <w:bCs/>
          <w:sz w:val="24"/>
          <w:szCs w:val="24"/>
          <w:highlight w:val="none"/>
        </w:rPr>
        <w:t>四、管理服务人员配置标准</w:t>
      </w: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u w:val="single"/>
          <w:lang w:val="en-US" w:eastAsia="zh-CN"/>
        </w:rPr>
        <w:t xml:space="preserve">                   </w:t>
      </w:r>
    </w:p>
    <w:p w14:paraId="1D5CA508">
      <w:pPr>
        <w:pStyle w:val="5"/>
        <w:keepNext w:val="0"/>
        <w:keepLines w:val="0"/>
        <w:pageBreakBefore w:val="0"/>
        <w:kinsoku/>
        <w:wordWrap/>
        <w:overflowPunct/>
        <w:topLinePunct w:val="0"/>
        <w:autoSpaceDE/>
        <w:autoSpaceDN/>
        <w:bidi w:val="0"/>
        <w:adjustRightInd w:val="0"/>
        <w:snapToGrid w:val="0"/>
        <w:spacing w:line="360" w:lineRule="auto"/>
        <w:ind w:firstLine="482" w:firstLineChars="200"/>
        <w:jc w:val="both"/>
        <w:rPr>
          <w:rFonts w:hint="eastAsia" w:ascii="仿宋" w:hAnsi="仿宋" w:eastAsia="仿宋" w:cs="仿宋"/>
          <w:b/>
          <w:sz w:val="24"/>
          <w:szCs w:val="24"/>
          <w:highlight w:val="none"/>
        </w:rPr>
      </w:pPr>
      <w:r>
        <w:rPr>
          <w:rFonts w:hint="eastAsia" w:ascii="仿宋" w:hAnsi="仿宋" w:eastAsia="仿宋" w:cs="仿宋"/>
          <w:b/>
          <w:sz w:val="24"/>
          <w:szCs w:val="24"/>
          <w:highlight w:val="none"/>
        </w:rPr>
        <w:t>五、管理服务内容</w:t>
      </w:r>
    </w:p>
    <w:p w14:paraId="54920001">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（一）后勤服务内容及要求</w:t>
      </w:r>
    </w:p>
    <w:p w14:paraId="409E76C1">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1.整体服务要求</w:t>
      </w:r>
    </w:p>
    <w:p w14:paraId="203CADA5">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（1）在学校后勤服务过程中，物业公司应严格依照国家各项标准开展工作。一年内深化管理服务，提高后勤服务水平，为广大师生提供舒适、安全、宁静的学习、生活环境。</w:t>
      </w:r>
    </w:p>
    <w:p w14:paraId="1BAF6EF0">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（2）安全防范：管理范围内治安案件发率为零，无任何管理责任性事故发生。</w:t>
      </w:r>
    </w:p>
    <w:p w14:paraId="26DD015E">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（3）环境卫生实行动态保洁、确保环境卫生满意率在95%以上。</w:t>
      </w:r>
    </w:p>
    <w:p w14:paraId="78158BC9">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（4）房屋及公共配套设施报修及时率100%以上。</w:t>
      </w:r>
    </w:p>
    <w:p w14:paraId="5012544A">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（5）除因基建质量、设备质量在保养期内等特殊原因外，楼内及配套设施、机电设施设备完好率95%以上。</w:t>
      </w:r>
    </w:p>
    <w:p w14:paraId="59743758">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（6）管理服务人员持有相应的上岗证、资格，专业培训合格率达 100%。</w:t>
      </w:r>
    </w:p>
    <w:p w14:paraId="1E913724">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（7）管理服务工作服从学校的管理监督和指导，积极配合学校各部门开展各项工作。</w:t>
      </w:r>
    </w:p>
    <w:p w14:paraId="586BE09E">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（8）学校对后勤服务满意率在 95%以上。</w:t>
      </w:r>
    </w:p>
    <w:p w14:paraId="52DCC5F0">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（9）严格遵守国家的法律、法规、条例以及政府部门的各项管理规定。科学、规范管理，全面推行质量管理体系，服务热情、周到，建立现代化、人性化管理服务体系。</w:t>
      </w:r>
    </w:p>
    <w:p w14:paraId="13D1C480">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（10）建立服务人员与学校师生的沟通机制，推行亲情服务。进一步规范和完善 24 小时值班制度。</w:t>
      </w:r>
    </w:p>
    <w:p w14:paraId="5088B76E">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（11）提高优质环境保障，加大清洁管理力度。确保卫生状况良好，做好与分类垃圾收运单位的收运衔接工作，确保分类垃圾规范、有序收运，做到日产日清。定期进行消毒，使校园保持洁净、舒适。</w:t>
      </w:r>
    </w:p>
    <w:p w14:paraId="5E6034E6">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（12）制定完善系统的培训计划，切实提高员工队伍的整体素质，确保持证上岗率达 100%。</w:t>
      </w:r>
    </w:p>
    <w:p w14:paraId="2CB23C13">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2.卫生保洁管理要求</w:t>
      </w:r>
    </w:p>
    <w:p w14:paraId="030FA2F1">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（1）建筑物、玻璃门、窗、柱、走廊等洁净无污迹。室外景观、活动场地、主干道等干净整洁。</w:t>
      </w:r>
    </w:p>
    <w:p w14:paraId="714A7A9F">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（2）公共座椅、消防设备与其他设备每天用毛巾擦拭一次。做到无污迹、无积灰。</w:t>
      </w:r>
    </w:p>
    <w:p w14:paraId="59EAF8F3">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（3）雨雪天要加强排水、排污疏通，及时清理污垢和地面积水。</w:t>
      </w:r>
    </w:p>
    <w:p w14:paraId="491ED258">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（4）阴井、雨污水沟每月清理一次，及时排除沟内泥沙、污物等垃圾。</w:t>
      </w:r>
    </w:p>
    <w:p w14:paraId="13EDFE54">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（5）广告牌及校门区域每天巡回清扫，保持地面清洁无垃圾和烟蒂，墙柱面无海报等纸片清除；广告牌每周清擦一次。</w:t>
      </w:r>
    </w:p>
    <w:p w14:paraId="607A3271">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（6）楼宇内保洁要求：走廊、楼梯、停车库（场）、公共区域的地面、墙面、门窗和固定设备等每天打扫、清洁两次，并循环保洁，定人定点巡回清扫、清除杂物。</w:t>
      </w:r>
    </w:p>
    <w:p w14:paraId="2D6FBB38">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（7）厕所的保洁要求：厕所设备设施完好无损，厕所内外做到无纸屑、无果皮（核）、无污水或积水、无粪便、无垃圾及其它废弃物等。</w:t>
      </w:r>
    </w:p>
    <w:p w14:paraId="27923C4C">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（8）垃圾分类投放及清运工作：做到垃圾“四分类”，对校内垃圾站垃圾必须保证每天装车、清运。学校重大活动及时响应，做好卫生工作。</w:t>
      </w:r>
    </w:p>
    <w:p w14:paraId="01026549">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（9）服务标准：执行“5段2遍6清洁”标准化流程（即分5个时段、每日2次全面保洁、重点完成6类清洁任务）。</w:t>
      </w:r>
    </w:p>
    <w:p w14:paraId="19239808">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每日课前完成主要区域清扫，课间进行动态保洁，垃圾“日产日清”。</w:t>
      </w:r>
    </w:p>
    <w:p w14:paraId="74789546">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每月至少进行1次全面消杀（含蚊蝇防治），特定时期按校方要求增加频次。</w:t>
      </w:r>
    </w:p>
    <w:p w14:paraId="499D8BC5">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（10）人员配置：配备</w:t>
      </w:r>
      <w:r>
        <w:rPr>
          <w:rFonts w:hint="eastAsia" w:ascii="仿宋" w:hAnsi="仿宋" w:eastAsia="仿宋" w:cs="仿宋"/>
          <w:b w:val="0"/>
          <w:bCs w:val="0"/>
          <w:kern w:val="2"/>
          <w:sz w:val="24"/>
          <w:szCs w:val="24"/>
          <w:highlight w:val="none"/>
          <w:lang w:val="en-US" w:eastAsia="zh-CN"/>
        </w:rPr>
        <w:t>5</w:t>
      </w:r>
      <w:r>
        <w:rPr>
          <w:rFonts w:hint="eastAsia" w:ascii="仿宋" w:hAnsi="仿宋" w:eastAsia="仿宋" w:cs="仿宋"/>
          <w:b w:val="0"/>
          <w:bCs w:val="0"/>
          <w:kern w:val="2"/>
          <w:sz w:val="24"/>
          <w:szCs w:val="24"/>
          <w:highlight w:val="none"/>
        </w:rPr>
        <w:t>名专职保洁人员，统一着装，言行规范。</w:t>
      </w:r>
    </w:p>
    <w:p w14:paraId="5D16FEC5">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3.工程设备维修维护的管理要求</w:t>
      </w:r>
    </w:p>
    <w:p w14:paraId="67668E5D">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（1）负责物业范围内所有土建、机电设备、给排水、外装饰、教室设备、办公电器设备的管理与维护；关键区域的设施设备管理与维护在学校指定专业技术人员的指导下实施。</w:t>
      </w:r>
    </w:p>
    <w:p w14:paraId="0CBD9D08">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（2）变配电设施、设备的日常管理、使用和一般性维修。按照变压器、配电柜管理规范和标准进行巡查，并做好记录。</w:t>
      </w:r>
    </w:p>
    <w:p w14:paraId="40F231F1">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（3）建筑主体及内外装饰的日常管理以及配套设施的日常管理、养护和一般性维修。</w:t>
      </w:r>
    </w:p>
    <w:p w14:paraId="1280B4F2">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（4）教学楼所有水、电设备设施，全部机电设备设施的日常管理和一般性维修工作。</w:t>
      </w:r>
    </w:p>
    <w:p w14:paraId="7B9107E3">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（5）服务标准：</w:t>
      </w:r>
    </w:p>
    <w:p w14:paraId="0738CBEB">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建立“1分钟响应，5分钟到场，急事即办”的快速响应机制。</w:t>
      </w:r>
    </w:p>
    <w:p w14:paraId="6F5234E5">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提供24小时紧急维修热线，普通维修任务完成率100%。</w:t>
      </w:r>
    </w:p>
    <w:p w14:paraId="04551FDA">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（6）配备2名工程维修人员，上岗确保操作规范安全。</w:t>
      </w:r>
    </w:p>
    <w:p w14:paraId="7192A414">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（二）</w:t>
      </w:r>
      <w:r>
        <w:rPr>
          <w:rFonts w:hint="eastAsia" w:ascii="仿宋" w:hAnsi="仿宋" w:eastAsia="仿宋" w:cs="仿宋"/>
          <w:b w:val="0"/>
          <w:bCs w:val="0"/>
          <w:kern w:val="2"/>
          <w:sz w:val="24"/>
          <w:szCs w:val="24"/>
          <w:highlight w:val="none"/>
          <w:lang w:val="en-US" w:eastAsia="zh-CN"/>
        </w:rPr>
        <w:t>校园保安管</w:t>
      </w:r>
      <w:r>
        <w:rPr>
          <w:rFonts w:hint="eastAsia" w:ascii="仿宋" w:hAnsi="仿宋" w:eastAsia="仿宋" w:cs="仿宋"/>
          <w:b w:val="0"/>
          <w:bCs w:val="0"/>
          <w:kern w:val="2"/>
          <w:sz w:val="24"/>
          <w:szCs w:val="24"/>
          <w:highlight w:val="none"/>
        </w:rPr>
        <w:t>理服务内容及要求</w:t>
      </w:r>
    </w:p>
    <w:p w14:paraId="676B0A81">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1.派驻学校的安全管理人员应持有相关技能证书，年龄不超过50岁。按治安管理要求，派驻学校的安全管理人员应持身份证到学校指定部门填写“外来人员登记表”，如有人员变动应及时到学校登记备案。值班、巡逻人员值班表每月提前报送学校。</w:t>
      </w:r>
    </w:p>
    <w:p w14:paraId="07871A52">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2.负责校园的门卫工作，按照学校管理规章制度及其他有关规定，认真管理好进出园的人员和物资等。</w:t>
      </w:r>
    </w:p>
    <w:p w14:paraId="38E47D61">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3.学校遇有重大活动、会议、招聘活动等需要增配、抽调人员协助时，应无偿按照校方要求执行，工作时应着统一服装及标志。</w:t>
      </w:r>
    </w:p>
    <w:p w14:paraId="0DF050BC">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4.坚持文明执勤、文明上岗。上岗人员要仪表整洁卫生，站岗姿势要端正规范，指挥车辆动作要准确、标准，执勤语言要文明。</w:t>
      </w:r>
    </w:p>
    <w:p w14:paraId="2FD29930">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5.积极主动协调处理校内治安等方面的突发事件，迅速排除各种险情，及时制止违法犯罪行为，及时向总务处报告各类案件、事故及其他重大问题和重要情况，做好 110 接警工作。</w:t>
      </w:r>
    </w:p>
    <w:p w14:paraId="1246ADB2">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6.要加强值班，建立文明值班室。值班场所做到整洁、卫生、有序，负责门前三包：“包安全、包卫生、包秩序”；上岗人员做到“六不”：不擅离岗位，不打瞌睡，不闲聊嬉闹，不玩手机，不聚众喝酒，不干私活会客。</w:t>
      </w:r>
    </w:p>
    <w:p w14:paraId="102AAF8D">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7.安全管理人员应当及时制止发生在服务区域内的违法犯罪行为，对制止无效的违法犯罪行为应当立即报警，同时采取措施保护现场。</w:t>
      </w:r>
    </w:p>
    <w:p w14:paraId="6B589603">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8.服务标准：</w:t>
      </w:r>
    </w:p>
    <w:p w14:paraId="777B2B1C">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（1）实行24小时双岗制，严格执行外来人员/车辆登记、查验制度。（2）每日安全巡逻不少于10次，并做好电子及纸质记录。</w:t>
      </w:r>
    </w:p>
    <w:p w14:paraId="6B7545AD">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（3）熟练操作一键报警系统、监视控制系统及消防器材，具备应急处置能力。</w:t>
      </w:r>
    </w:p>
    <w:p w14:paraId="283DFCC4">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（4）上下学高峰时段，协助维持校门口秩序，构成“护学岗”一部分。</w:t>
      </w:r>
    </w:p>
    <w:p w14:paraId="39AE2D83">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rPr>
        <w:t>9.配备</w:t>
      </w:r>
      <w:r>
        <w:rPr>
          <w:rFonts w:hint="eastAsia" w:ascii="仿宋" w:hAnsi="仿宋" w:eastAsia="仿宋" w:cs="仿宋"/>
          <w:b w:val="0"/>
          <w:bCs w:val="0"/>
          <w:kern w:val="2"/>
          <w:sz w:val="24"/>
          <w:szCs w:val="24"/>
          <w:highlight w:val="none"/>
          <w:lang w:val="en-US" w:eastAsia="zh-CN"/>
        </w:rPr>
        <w:t>5</w:t>
      </w:r>
      <w:r>
        <w:rPr>
          <w:rFonts w:hint="eastAsia" w:ascii="仿宋" w:hAnsi="仿宋" w:eastAsia="仿宋" w:cs="仿宋"/>
          <w:b w:val="0"/>
          <w:bCs w:val="0"/>
          <w:kern w:val="2"/>
          <w:sz w:val="24"/>
          <w:szCs w:val="24"/>
          <w:highlight w:val="none"/>
        </w:rPr>
        <w:t>名专职安全管理人员，持有相关技能证书，定期进行军事化队列及应急演练。</w:t>
      </w:r>
    </w:p>
    <w:p w14:paraId="1FD84FF3">
      <w:pPr>
        <w:pStyle w:val="5"/>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both"/>
        <w:textAlignment w:val="auto"/>
        <w:rPr>
          <w:rFonts w:hint="eastAsia" w:ascii="仿宋" w:hAnsi="仿宋" w:eastAsia="仿宋" w:cs="仿宋"/>
          <w:b/>
          <w:bCs/>
          <w:sz w:val="24"/>
          <w:szCs w:val="24"/>
          <w:highlight w:val="none"/>
        </w:rPr>
      </w:pPr>
      <w:r>
        <w:rPr>
          <w:rFonts w:hint="eastAsia" w:ascii="仿宋" w:hAnsi="仿宋" w:eastAsia="仿宋" w:cs="仿宋"/>
          <w:b/>
          <w:bCs/>
          <w:kern w:val="2"/>
          <w:sz w:val="24"/>
          <w:szCs w:val="24"/>
          <w:highlight w:val="none"/>
        </w:rPr>
        <w:t>六、</w:t>
      </w:r>
      <w:r>
        <w:rPr>
          <w:rFonts w:hint="eastAsia" w:ascii="仿宋" w:hAnsi="仿宋" w:eastAsia="仿宋" w:cs="仿宋"/>
          <w:b/>
          <w:bCs/>
          <w:sz w:val="24"/>
          <w:szCs w:val="24"/>
          <w:highlight w:val="none"/>
        </w:rPr>
        <w:t>管理服务标准</w:t>
      </w:r>
    </w:p>
    <w:p w14:paraId="711CEF7B">
      <w:pPr>
        <w:pStyle w:val="12"/>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1.卫生保洁服务标准：执行“5段2遍6清洁”标准化流程（即分5个时段、每日2次全面保洁、重点完成6类清洁任务）。</w:t>
      </w:r>
    </w:p>
    <w:p w14:paraId="7FE9B403">
      <w:pPr>
        <w:pStyle w:val="12"/>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每日课前完成主要区域清扫，课间进行动态保洁，垃圾“日产日清”。</w:t>
      </w:r>
    </w:p>
    <w:p w14:paraId="441105D9">
      <w:pPr>
        <w:pStyle w:val="12"/>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每月至少进行1次全面消杀（含蚊蝇防治），特定时期按校方要求增加频次。</w:t>
      </w:r>
    </w:p>
    <w:p w14:paraId="4AC8CDB4">
      <w:pPr>
        <w:pStyle w:val="12"/>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2.工程设备维修维护服务标准：</w:t>
      </w:r>
    </w:p>
    <w:p w14:paraId="53E82195">
      <w:pPr>
        <w:pStyle w:val="5"/>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建立“1分钟响应，5分钟到场，急事即办”的快速响应机制。</w:t>
      </w:r>
    </w:p>
    <w:p w14:paraId="1CBD5DB5">
      <w:pPr>
        <w:pStyle w:val="5"/>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提供24小时紧急维修热线，普通维修任务完成率100%。</w:t>
      </w:r>
    </w:p>
    <w:p w14:paraId="4BDA470B">
      <w:pPr>
        <w:pStyle w:val="5"/>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w:t>
      </w:r>
      <w:r>
        <w:rPr>
          <w:rFonts w:hint="eastAsia" w:ascii="仿宋" w:hAnsi="仿宋" w:eastAsia="仿宋" w:cs="仿宋"/>
          <w:kern w:val="2"/>
          <w:sz w:val="24"/>
          <w:szCs w:val="24"/>
          <w:highlight w:val="none"/>
          <w:lang w:val="en-US" w:eastAsia="zh-CN" w:bidi="ar-SA"/>
        </w:rPr>
        <w:t>.</w:t>
      </w:r>
      <w:r>
        <w:rPr>
          <w:rFonts w:hint="eastAsia" w:ascii="仿宋" w:hAnsi="仿宋" w:eastAsia="仿宋" w:cs="仿宋"/>
          <w:kern w:val="2"/>
          <w:sz w:val="24"/>
          <w:szCs w:val="24"/>
          <w:highlight w:val="none"/>
          <w:lang w:val="en-US" w:eastAsia="zh-CN" w:bidi="ar-SA"/>
        </w:rPr>
        <w:t>安全管理服务标准：</w:t>
      </w:r>
    </w:p>
    <w:p w14:paraId="6C0090C3">
      <w:pPr>
        <w:pStyle w:val="5"/>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（1）实行24小时双岗制，严格执行外来人员/车辆登记、查验制度。</w:t>
      </w:r>
    </w:p>
    <w:p w14:paraId="28AF553C">
      <w:pPr>
        <w:pStyle w:val="5"/>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（2）每日安全巡逻不少于10次，并做好电子及纸质记录。</w:t>
      </w:r>
    </w:p>
    <w:p w14:paraId="4A8A45AC">
      <w:pPr>
        <w:pStyle w:val="5"/>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（3）熟练操作一键报警系统、监视控制系统及消防器材，具备应急处置能力。</w:t>
      </w:r>
    </w:p>
    <w:p w14:paraId="6B16DC08">
      <w:pPr>
        <w:pStyle w:val="5"/>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（4）上下学高峰时段，协助维持校门口秩序，构成“护学岗”一部分。</w:t>
      </w:r>
    </w:p>
    <w:p w14:paraId="43EF6DC4">
      <w:pPr>
        <w:pStyle w:val="5"/>
        <w:keepNext w:val="0"/>
        <w:keepLines w:val="0"/>
        <w:pageBreakBefore w:val="0"/>
        <w:kinsoku/>
        <w:wordWrap/>
        <w:overflowPunct/>
        <w:topLinePunct w:val="0"/>
        <w:autoSpaceDE/>
        <w:autoSpaceDN/>
        <w:bidi w:val="0"/>
        <w:adjustRightInd w:val="0"/>
        <w:snapToGrid w:val="0"/>
        <w:spacing w:line="360" w:lineRule="auto"/>
        <w:ind w:firstLine="482" w:firstLineChars="200"/>
        <w:jc w:val="both"/>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七、双方的权利和义务</w:t>
      </w:r>
    </w:p>
    <w:p w14:paraId="0AF9620E">
      <w:pPr>
        <w:pStyle w:val="5"/>
        <w:keepNext w:val="0"/>
        <w:keepLines w:val="0"/>
        <w:pageBreakBefore w:val="0"/>
        <w:kinsoku/>
        <w:wordWrap/>
        <w:overflowPunct/>
        <w:topLinePunct w:val="0"/>
        <w:autoSpaceDE/>
        <w:autoSpaceDN/>
        <w:bidi w:val="0"/>
        <w:adjustRightInd w:val="0"/>
        <w:snapToGrid w:val="0"/>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（一）甲方的权利和义务</w:t>
      </w:r>
    </w:p>
    <w:p w14:paraId="3F55D7A8">
      <w:pPr>
        <w:pStyle w:val="5"/>
        <w:keepNext w:val="0"/>
        <w:keepLines w:val="0"/>
        <w:pageBreakBefore w:val="0"/>
        <w:kinsoku/>
        <w:wordWrap/>
        <w:overflowPunct/>
        <w:topLinePunct w:val="0"/>
        <w:autoSpaceDE/>
        <w:autoSpaceDN/>
        <w:bidi w:val="0"/>
        <w:adjustRightInd w:val="0"/>
        <w:snapToGrid w:val="0"/>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1.甲方有权检查、监督乙方物业服务工作的实施及合同的执行情况。若甲方未履行监督义务，导致乙方服务质量受到影响，甲方应承担相应的违约责任，包括但不限于赔偿乙方因此遭受的损失。</w:t>
      </w:r>
    </w:p>
    <w:p w14:paraId="196A3D11">
      <w:pPr>
        <w:pStyle w:val="5"/>
        <w:keepNext w:val="0"/>
        <w:keepLines w:val="0"/>
        <w:pageBreakBefore w:val="0"/>
        <w:kinsoku/>
        <w:wordWrap/>
        <w:overflowPunct/>
        <w:topLinePunct w:val="0"/>
        <w:autoSpaceDE/>
        <w:autoSpaceDN/>
        <w:bidi w:val="0"/>
        <w:adjustRightInd w:val="0"/>
        <w:snapToGrid w:val="0"/>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2.甲方免费提供物业管理用房，乙方在使用时均不得擅自改变房屋用途、以及对外出借、出租、闲置等，只能专项用于物业管理用途。</w:t>
      </w:r>
    </w:p>
    <w:p w14:paraId="5E19550D">
      <w:pPr>
        <w:pStyle w:val="5"/>
        <w:keepNext w:val="0"/>
        <w:keepLines w:val="0"/>
        <w:pageBreakBefore w:val="0"/>
        <w:kinsoku/>
        <w:wordWrap/>
        <w:overflowPunct/>
        <w:topLinePunct w:val="0"/>
        <w:autoSpaceDE/>
        <w:autoSpaceDN/>
        <w:bidi w:val="0"/>
        <w:adjustRightInd w:val="0"/>
        <w:snapToGrid w:val="0"/>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3.依照合同约定向乙方支付服务费及其他本合同约定应当由甲方承担的费用。</w:t>
      </w:r>
    </w:p>
    <w:p w14:paraId="3DB7586A">
      <w:pPr>
        <w:pStyle w:val="5"/>
        <w:keepNext w:val="0"/>
        <w:keepLines w:val="0"/>
        <w:pageBreakBefore w:val="0"/>
        <w:kinsoku/>
        <w:wordWrap/>
        <w:overflowPunct/>
        <w:topLinePunct w:val="0"/>
        <w:autoSpaceDE/>
        <w:autoSpaceDN/>
        <w:bidi w:val="0"/>
        <w:adjustRightInd w:val="0"/>
        <w:snapToGrid w:val="0"/>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（二）乙方的权利和义务</w:t>
      </w:r>
    </w:p>
    <w:p w14:paraId="1DC695A1">
      <w:pPr>
        <w:pStyle w:val="5"/>
        <w:keepNext w:val="0"/>
        <w:keepLines w:val="0"/>
        <w:pageBreakBefore w:val="0"/>
        <w:kinsoku/>
        <w:wordWrap/>
        <w:overflowPunct/>
        <w:topLinePunct w:val="0"/>
        <w:autoSpaceDE/>
        <w:autoSpaceDN/>
        <w:bidi w:val="0"/>
        <w:adjustRightInd w:val="0"/>
        <w:snapToGrid w:val="0"/>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1.乙方有权根据有关法律法规的规定及本合同约定，自行制定后勤服务保障相关制度，拟定管理公约。</w:t>
      </w:r>
    </w:p>
    <w:p w14:paraId="730877E2">
      <w:pPr>
        <w:pStyle w:val="5"/>
        <w:keepNext w:val="0"/>
        <w:keepLines w:val="0"/>
        <w:pageBreakBefore w:val="0"/>
        <w:kinsoku/>
        <w:wordWrap/>
        <w:overflowPunct/>
        <w:topLinePunct w:val="0"/>
        <w:autoSpaceDE/>
        <w:autoSpaceDN/>
        <w:bidi w:val="0"/>
        <w:adjustRightInd w:val="0"/>
        <w:snapToGrid w:val="0"/>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2.本合同终止时，乙方必须向甲方移交全部管理用房。</w:t>
      </w:r>
    </w:p>
    <w:p w14:paraId="049B9970">
      <w:pPr>
        <w:pStyle w:val="5"/>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both"/>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rPr>
        <w:t>八、质量保证</w:t>
      </w:r>
    </w:p>
    <w:p w14:paraId="5B44E524">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保证所供后勤保障期内的服务标准按照合同执行。</w:t>
      </w:r>
    </w:p>
    <w:p w14:paraId="124F8B0F">
      <w:pPr>
        <w:pStyle w:val="5"/>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both"/>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rPr>
        <w:t>九、违约责任</w:t>
      </w:r>
    </w:p>
    <w:p w14:paraId="5B7C2655">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(一)按《民法典》中的相关条款执行。</w:t>
      </w:r>
    </w:p>
    <w:p w14:paraId="52FB5554">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(二)乙方提供的服务不符合本项目相关文件和本合同规定的，甲方有权拒绝,并且乙方须向甲方支付本合同总价款1%的违约金。</w:t>
      </w:r>
    </w:p>
    <w:p w14:paraId="6196C28A">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乙方未能按照本合同约定时间提供服务或完成约定的项目服务内容的，从逾期之日起每日按本合同总价款0.5%的数额向甲方支付违约金;逾期10日以上的，甲方有权终止合同，由此造成的甲方经济损失由乙方承担。如因不可抗力或其他非乙方原因导致的延误，乙方不承担违约责任。</w:t>
      </w:r>
    </w:p>
    <w:p w14:paraId="0CCD011C">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(四)在本合同履行过程中,双方因违约或造成对方经济、社会效益等损失的应当赔偿。</w:t>
      </w:r>
    </w:p>
    <w:p w14:paraId="66C71EEE">
      <w:pPr>
        <w:pStyle w:val="5"/>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both"/>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rPr>
        <w:t>十、保密条款</w:t>
      </w:r>
    </w:p>
    <w:p w14:paraId="1EC40432">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乙方应遵守国家有关保密的法律法规和行业规定，并对甲方提供的资料负有保密义务。本保密义务自合同生效之日起至合同终止后五年内持续有效。未经甲方同意，保密人员不得将承接本项目各种信息和资料提供给其他单位和个人。如发生以上情况，甲方有权索赔。但是，若因法律强制要求披露信息，乙方可以在遵循法律法规的前提下披露相关信息，但需尽可能提前通知甲方。</w:t>
      </w:r>
    </w:p>
    <w:p w14:paraId="3E9D9D14">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(二)本条款为独立条款，本合同的无效、变更、解除和终止均不影响本条款的效力。</w:t>
      </w:r>
    </w:p>
    <w:p w14:paraId="35289B22">
      <w:pPr>
        <w:pStyle w:val="5"/>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both"/>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十一、争议解决</w:t>
      </w:r>
    </w:p>
    <w:p w14:paraId="09BD8056">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本合同履行过程中发生的纠纷双方应协商解决。协商不成的，合同任何一方均有权向甲方所在地人民法院提起诉讼。</w:t>
      </w:r>
    </w:p>
    <w:p w14:paraId="2471CA60">
      <w:pPr>
        <w:pStyle w:val="5"/>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both"/>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rPr>
        <w:t>十二、合同变更</w:t>
      </w:r>
    </w:p>
    <w:p w14:paraId="05E90326">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在合同的执行期内，双方均不得随意变更或解除合同。如因项目需求情况发生变化，需要项目变更的，应双方协商后签订项目变更协议。</w:t>
      </w:r>
    </w:p>
    <w:p w14:paraId="7081D2E3">
      <w:pPr>
        <w:pStyle w:val="5"/>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both"/>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rPr>
        <w:t>十三、合同生效</w:t>
      </w:r>
    </w:p>
    <w:p w14:paraId="5CB1CBEF">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本合同一式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份，甲方持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份，乙方持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份，本合同双方签字盖章后生效，合同执行完毕后，自动失效。</w:t>
      </w:r>
    </w:p>
    <w:p w14:paraId="4FC43064">
      <w:pPr>
        <w:pStyle w:val="5"/>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both"/>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十四、其他事项</w:t>
      </w:r>
    </w:p>
    <w:p w14:paraId="5B3DCF56">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合同未尽事宜，由双方协商确认后签订补充协议，与原合同具有同等法律效力。</w:t>
      </w:r>
    </w:p>
    <w:p w14:paraId="56E4B3F9">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highlight w:val="none"/>
        </w:rPr>
      </w:pPr>
    </w:p>
    <w:p w14:paraId="42B755C1">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highlight w:val="none"/>
        </w:rPr>
      </w:pPr>
    </w:p>
    <w:p w14:paraId="7335B668">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highlight w:val="none"/>
        </w:rPr>
      </w:pPr>
    </w:p>
    <w:p w14:paraId="1FEC421A">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以下无正文</w:t>
      </w:r>
    </w:p>
    <w:p w14:paraId="06B7C9A0">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100D97AE">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highlight w:val="none"/>
        </w:rPr>
      </w:pPr>
    </w:p>
    <w:p w14:paraId="20F87D3F">
      <w:pPr>
        <w:rPr>
          <w:rFonts w:hint="eastAsia" w:ascii="仿宋" w:hAnsi="仿宋" w:eastAsia="仿宋" w:cs="仿宋"/>
          <w:sz w:val="24"/>
          <w:szCs w:val="24"/>
          <w:highlight w:val="none"/>
        </w:rPr>
      </w:pPr>
    </w:p>
    <w:tbl>
      <w:tblPr>
        <w:tblStyle w:val="9"/>
        <w:tblW w:w="0" w:type="auto"/>
        <w:jc w:val="center"/>
        <w:tblLayout w:type="fixed"/>
        <w:tblCellMar>
          <w:top w:w="0" w:type="dxa"/>
          <w:left w:w="108" w:type="dxa"/>
          <w:bottom w:w="0" w:type="dxa"/>
          <w:right w:w="108" w:type="dxa"/>
        </w:tblCellMar>
      </w:tblPr>
      <w:tblGrid>
        <w:gridCol w:w="4201"/>
        <w:gridCol w:w="4202"/>
      </w:tblGrid>
      <w:tr w14:paraId="7FD04622">
        <w:tblPrEx>
          <w:tblCellMar>
            <w:top w:w="0" w:type="dxa"/>
            <w:left w:w="108" w:type="dxa"/>
            <w:bottom w:w="0" w:type="dxa"/>
            <w:right w:w="108" w:type="dxa"/>
          </w:tblCellMar>
        </w:tblPrEx>
        <w:trPr>
          <w:trHeight w:val="567" w:hRule="exact"/>
          <w:jc w:val="center"/>
        </w:trPr>
        <w:tc>
          <w:tcPr>
            <w:tcW w:w="4201" w:type="dxa"/>
            <w:vAlign w:val="center"/>
          </w:tcPr>
          <w:p w14:paraId="7187F55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  方（盖章）</w:t>
            </w:r>
          </w:p>
        </w:tc>
        <w:tc>
          <w:tcPr>
            <w:tcW w:w="4202" w:type="dxa"/>
            <w:vAlign w:val="center"/>
          </w:tcPr>
          <w:p w14:paraId="6D4D8D7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  方（盖章）</w:t>
            </w:r>
          </w:p>
        </w:tc>
      </w:tr>
      <w:tr w14:paraId="0359985B">
        <w:tblPrEx>
          <w:tblCellMar>
            <w:top w:w="0" w:type="dxa"/>
            <w:left w:w="108" w:type="dxa"/>
            <w:bottom w:w="0" w:type="dxa"/>
            <w:right w:w="108" w:type="dxa"/>
          </w:tblCellMar>
        </w:tblPrEx>
        <w:trPr>
          <w:trHeight w:val="567" w:hRule="exact"/>
          <w:jc w:val="center"/>
        </w:trPr>
        <w:tc>
          <w:tcPr>
            <w:tcW w:w="4201" w:type="dxa"/>
            <w:vAlign w:val="center"/>
          </w:tcPr>
          <w:p w14:paraId="5FE0F3B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通讯地址： </w:t>
            </w:r>
          </w:p>
        </w:tc>
        <w:tc>
          <w:tcPr>
            <w:tcW w:w="4202" w:type="dxa"/>
            <w:vAlign w:val="center"/>
          </w:tcPr>
          <w:p w14:paraId="227E640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通讯地址：</w:t>
            </w:r>
          </w:p>
        </w:tc>
      </w:tr>
      <w:tr w14:paraId="4F200230">
        <w:tblPrEx>
          <w:tblCellMar>
            <w:top w:w="0" w:type="dxa"/>
            <w:left w:w="108" w:type="dxa"/>
            <w:bottom w:w="0" w:type="dxa"/>
            <w:right w:w="108" w:type="dxa"/>
          </w:tblCellMar>
        </w:tblPrEx>
        <w:trPr>
          <w:trHeight w:val="567" w:hRule="exact"/>
          <w:jc w:val="center"/>
        </w:trPr>
        <w:tc>
          <w:tcPr>
            <w:tcW w:w="4201" w:type="dxa"/>
            <w:vAlign w:val="center"/>
          </w:tcPr>
          <w:p w14:paraId="614EE51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法定代表或委托代理人： </w:t>
            </w:r>
          </w:p>
        </w:tc>
        <w:tc>
          <w:tcPr>
            <w:tcW w:w="4202" w:type="dxa"/>
            <w:vAlign w:val="center"/>
          </w:tcPr>
          <w:p w14:paraId="011616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法定代表或委托代理人：</w:t>
            </w:r>
          </w:p>
        </w:tc>
      </w:tr>
      <w:tr w14:paraId="57C2CD27">
        <w:tblPrEx>
          <w:tblCellMar>
            <w:top w:w="0" w:type="dxa"/>
            <w:left w:w="108" w:type="dxa"/>
            <w:bottom w:w="0" w:type="dxa"/>
            <w:right w:w="108" w:type="dxa"/>
          </w:tblCellMar>
        </w:tblPrEx>
        <w:trPr>
          <w:trHeight w:val="567" w:hRule="exact"/>
          <w:jc w:val="center"/>
        </w:trPr>
        <w:tc>
          <w:tcPr>
            <w:tcW w:w="4201" w:type="dxa"/>
            <w:vAlign w:val="center"/>
          </w:tcPr>
          <w:p w14:paraId="0670E9D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tc>
        <w:tc>
          <w:tcPr>
            <w:tcW w:w="4202" w:type="dxa"/>
            <w:vAlign w:val="center"/>
          </w:tcPr>
          <w:p w14:paraId="585EFD0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tc>
      </w:tr>
      <w:tr w14:paraId="5FCFEE88">
        <w:tblPrEx>
          <w:tblCellMar>
            <w:top w:w="0" w:type="dxa"/>
            <w:left w:w="108" w:type="dxa"/>
            <w:bottom w:w="0" w:type="dxa"/>
            <w:right w:w="108" w:type="dxa"/>
          </w:tblCellMar>
        </w:tblPrEx>
        <w:trPr>
          <w:trHeight w:val="567" w:hRule="exact"/>
          <w:jc w:val="center"/>
        </w:trPr>
        <w:tc>
          <w:tcPr>
            <w:tcW w:w="4201" w:type="dxa"/>
            <w:vAlign w:val="center"/>
          </w:tcPr>
          <w:p w14:paraId="4AFB2DB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tc>
        <w:tc>
          <w:tcPr>
            <w:tcW w:w="4202" w:type="dxa"/>
            <w:vAlign w:val="center"/>
          </w:tcPr>
          <w:p w14:paraId="445E4C3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tc>
      </w:tr>
      <w:tr w14:paraId="1557B0E9">
        <w:tblPrEx>
          <w:tblCellMar>
            <w:top w:w="0" w:type="dxa"/>
            <w:left w:w="108" w:type="dxa"/>
            <w:bottom w:w="0" w:type="dxa"/>
            <w:right w:w="108" w:type="dxa"/>
          </w:tblCellMar>
        </w:tblPrEx>
        <w:trPr>
          <w:trHeight w:val="567" w:hRule="exact"/>
          <w:jc w:val="center"/>
        </w:trPr>
        <w:tc>
          <w:tcPr>
            <w:tcW w:w="4201" w:type="dxa"/>
            <w:vAlign w:val="center"/>
          </w:tcPr>
          <w:p w14:paraId="699AC7B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tc>
        <w:tc>
          <w:tcPr>
            <w:tcW w:w="4202" w:type="dxa"/>
            <w:vAlign w:val="center"/>
          </w:tcPr>
          <w:p w14:paraId="73F6ED2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tc>
      </w:tr>
      <w:tr w14:paraId="374BB4AB">
        <w:tblPrEx>
          <w:tblCellMar>
            <w:top w:w="0" w:type="dxa"/>
            <w:left w:w="108" w:type="dxa"/>
            <w:bottom w:w="0" w:type="dxa"/>
            <w:right w:w="108" w:type="dxa"/>
          </w:tblCellMar>
        </w:tblPrEx>
        <w:trPr>
          <w:trHeight w:val="567" w:hRule="exact"/>
          <w:jc w:val="center"/>
        </w:trPr>
        <w:tc>
          <w:tcPr>
            <w:tcW w:w="4201" w:type="dxa"/>
            <w:vAlign w:val="center"/>
          </w:tcPr>
          <w:p w14:paraId="63C2901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签订日期：</w:t>
            </w:r>
          </w:p>
        </w:tc>
        <w:tc>
          <w:tcPr>
            <w:tcW w:w="4202" w:type="dxa"/>
            <w:vAlign w:val="center"/>
          </w:tcPr>
          <w:p w14:paraId="1883959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签订日期：</w:t>
            </w:r>
          </w:p>
        </w:tc>
      </w:tr>
    </w:tbl>
    <w:p w14:paraId="4D9C562B">
      <w:pPr>
        <w:rPr>
          <w:rFonts w:hint="eastAsia" w:ascii="仿宋" w:hAnsi="仿宋" w:eastAsia="仿宋" w:cs="仿宋"/>
          <w:sz w:val="20"/>
          <w:szCs w:val="20"/>
          <w:highlight w:val="none"/>
        </w:rPr>
      </w:pPr>
    </w:p>
    <w:p w14:paraId="12647C82">
      <w:pPr>
        <w:rPr>
          <w:rFonts w:hint="eastAsia" w:ascii="仿宋" w:hAnsi="仿宋" w:eastAsia="仿宋" w:cs="仿宋"/>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F9CBECC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E7C669"/>
    <w:multiLevelType w:val="singleLevel"/>
    <w:tmpl w:val="F4E7C66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1F150C"/>
    <w:rsid w:val="1D8D4B3F"/>
    <w:rsid w:val="1DFE03A7"/>
    <w:rsid w:val="205B0707"/>
    <w:rsid w:val="2CF33A75"/>
    <w:rsid w:val="3B3D1A41"/>
    <w:rsid w:val="3E7E5894"/>
    <w:rsid w:val="43CF58C0"/>
    <w:rsid w:val="53285977"/>
    <w:rsid w:val="5FBC4017"/>
    <w:rsid w:val="605F79E5"/>
    <w:rsid w:val="60D31618"/>
    <w:rsid w:val="63D04F66"/>
    <w:rsid w:val="65E46075"/>
    <w:rsid w:val="66805D9E"/>
    <w:rsid w:val="721F1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pPr>
  </w:style>
  <w:style w:type="paragraph" w:styleId="4">
    <w:name w:val="Body Text Indent"/>
    <w:basedOn w:val="1"/>
    <w:next w:val="1"/>
    <w:qFormat/>
    <w:uiPriority w:val="0"/>
    <w:pPr>
      <w:ind w:firstLine="552"/>
    </w:pPr>
    <w:rPr>
      <w:rFonts w:ascii="宋体"/>
      <w:sz w:val="28"/>
    </w:rPr>
  </w:style>
  <w:style w:type="paragraph" w:styleId="5">
    <w:name w:val="footer"/>
    <w:basedOn w:val="1"/>
    <w:qFormat/>
    <w:uiPriority w:val="0"/>
    <w:pPr>
      <w:tabs>
        <w:tab w:val="center" w:pos="4153"/>
        <w:tab w:val="right" w:pos="8306"/>
      </w:tabs>
    </w:pPr>
    <w:rPr>
      <w:sz w:val="18"/>
    </w:rPr>
  </w:style>
  <w:style w:type="paragraph" w:styleId="6">
    <w:name w:val="header"/>
    <w:basedOn w:val="1"/>
    <w:next w:val="7"/>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7">
    <w:name w:val="Body Text 2"/>
    <w:basedOn w:val="1"/>
    <w:qFormat/>
    <w:uiPriority w:val="0"/>
    <w:rPr>
      <w:rFonts w:ascii="楷体_GB2312" w:hAnsi="Copperplate Gothic Bold" w:eastAsia="楷体_GB2312"/>
      <w:sz w:val="28"/>
    </w:rPr>
  </w:style>
  <w:style w:type="paragraph" w:styleId="8">
    <w:name w:val="Body Text First Indent 2"/>
    <w:basedOn w:val="4"/>
    <w:next w:val="1"/>
    <w:qFormat/>
    <w:uiPriority w:val="0"/>
    <w:pPr>
      <w:ind w:firstLine="420" w:firstLineChars="200"/>
    </w:pPr>
  </w:style>
  <w:style w:type="character" w:styleId="11">
    <w:name w:val="page number"/>
    <w:basedOn w:val="10"/>
    <w:qFormat/>
    <w:uiPriority w:val="0"/>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4174</Words>
  <Characters>4238</Characters>
  <Lines>0</Lines>
  <Paragraphs>0</Paragraphs>
  <TotalTime>4</TotalTime>
  <ScaleCrop>false</ScaleCrop>
  <LinksUpToDate>false</LinksUpToDate>
  <CharactersWithSpaces>4368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2025-12-02T01:03:00Z</dcterms:created>
  <dc:creator>开瑞</dc:creator>
  <cp:lastModifiedBy>123</cp:lastModifiedBy>
  <dcterms:modified xsi:type="dcterms:W3CDTF">2026-02-04T03:09:59Z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52D23D827A734B8C97D6F25F670CC309_11</vt:lpwstr>
  </property>
  <property fmtid="{D5CDD505-2E9C-101B-9397-08002B2CF9AE}" pid="4" name="KSOTemplateDocerSaveRecord">
    <vt:lpwstr>eyJoZGlkIjoiN2NhN2Y2MGE5MjIwMDhkM2Q0ZjI1MGYxOTkyNDVjMmYiLCJ1c2VySWQiOiI0Nzk2NjcyNzMifQ==</vt:lpwstr>
  </property>
</Properties>
</file>