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版本号：SXSJ-202601420260207002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化粪池拆除与新建工程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SXSJ-2026014</w:t>
      </w:r>
      <w:r>
        <w:br/>
      </w:r>
      <w:r>
        <w:br/>
      </w:r>
      <w:r>
        <w:br/>
      </w:r>
    </w:p>
    <w:p>
      <w:pPr>
        <w:pStyle w:val="null3"/>
        <w:jc w:val="center"/>
        <w:outlineLvl w:val="2"/>
      </w:pPr>
      <w:r>
        <w:rPr>
          <w:rFonts w:ascii="仿宋_GB2312" w:hAnsi="仿宋_GB2312" w:cs="仿宋_GB2312" w:eastAsia="仿宋_GB2312"/>
          <w:sz w:val="28"/>
          <w:b/>
        </w:rPr>
        <w:t>长安区第五中学</w:t>
      </w:r>
    </w:p>
    <w:p>
      <w:pPr>
        <w:pStyle w:val="null3"/>
        <w:jc w:val="center"/>
        <w:outlineLvl w:val="2"/>
      </w:pPr>
      <w:r>
        <w:rPr>
          <w:rFonts w:ascii="仿宋_GB2312" w:hAnsi="仿宋_GB2312" w:cs="仿宋_GB2312" w:eastAsia="仿宋_GB2312"/>
          <w:sz w:val="28"/>
          <w:b/>
        </w:rPr>
        <w:t>陕西昇杰项目管理有限公司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陕西昇杰项目管理有限公司</w:t>
      </w:r>
      <w:r>
        <w:rPr>
          <w:rFonts w:ascii="仿宋_GB2312" w:hAnsi="仿宋_GB2312" w:cs="仿宋_GB2312" w:eastAsia="仿宋_GB2312"/>
        </w:rPr>
        <w:t>（以下简称“代理机构”）受</w:t>
      </w:r>
      <w:r>
        <w:rPr>
          <w:rFonts w:ascii="仿宋_GB2312" w:hAnsi="仿宋_GB2312" w:cs="仿宋_GB2312" w:eastAsia="仿宋_GB2312"/>
        </w:rPr>
        <w:t>长安区第五中学</w:t>
      </w:r>
      <w:r>
        <w:rPr>
          <w:rFonts w:ascii="仿宋_GB2312" w:hAnsi="仿宋_GB2312" w:cs="仿宋_GB2312" w:eastAsia="仿宋_GB2312"/>
        </w:rPr>
        <w:t>委托，拟对</w:t>
      </w:r>
      <w:r>
        <w:rPr>
          <w:rFonts w:ascii="仿宋_GB2312" w:hAnsi="仿宋_GB2312" w:cs="仿宋_GB2312" w:eastAsia="仿宋_GB2312"/>
        </w:rPr>
        <w:t>化粪池拆除与新建工程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SXSJ-2026014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化粪池拆除与新建工程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拆除行政楼前原有化粪池、男生公寓北侧原有两个化粪池，新建行政楼前混凝土现浇化粪池一个，新建男生公寓北侧混凝土现浇化粪池一个，具体内容详见采购文件。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采购包1（化粪池拆除与新建工程）：属于专门面向中小企业采购。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法定代表人直接参加磋商的，须出具法定代表人身份证，并与营业执照上信息一致；法定代表人授权代表参加磋商的，须同时出具法定代表人授权书、授权代表身份证及递交响应文件截止时间前六个月内任意一个月的本单位社保缴纳证明；</w:t>
      </w:r>
    </w:p>
    <w:p>
      <w:pPr>
        <w:pStyle w:val="null3"/>
      </w:pPr>
      <w:r>
        <w:rPr>
          <w:rFonts w:ascii="仿宋_GB2312" w:hAnsi="仿宋_GB2312" w:cs="仿宋_GB2312" w:eastAsia="仿宋_GB2312"/>
        </w:rPr>
        <w:t>2、供应商资质证明：供应商须具有效的建设行政主管部门颁发的建筑工程施工总承包三级及以上资质，同时须具有效的安全生产许可证；</w:t>
      </w:r>
    </w:p>
    <w:p>
      <w:pPr>
        <w:pStyle w:val="null3"/>
      </w:pPr>
      <w:r>
        <w:rPr>
          <w:rFonts w:ascii="仿宋_GB2312" w:hAnsi="仿宋_GB2312" w:cs="仿宋_GB2312" w:eastAsia="仿宋_GB2312"/>
        </w:rPr>
        <w:t>3、拟派项目经理资质证明：拟派项目经理须具有建筑工程专业二级及以上（含二级）注册建造师资格证书及具备有效的安全生产考核证书B证，在本单位注册且无在建项目；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长安区第五中学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西安市长安区五星街道灵感寺甲字3号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13468830036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陕西昇杰项目管理有限公司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陕西省西安市高新区高新四路创业广场 B座12层1203-B36号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15332393126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采购包1：925,138.42元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按国家计委颁发的《招标代理服务收费管理暂行办法》（计价格[2002]1980号）和国家发展和改革委员会办公厅颁发的《关于招标代理服务收费有关问题的通知》(发改办价格[2003]857号）文件标准下浮5%收取;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长安区第五中学</w:t>
      </w:r>
      <w:r>
        <w:rPr>
          <w:rFonts w:ascii="仿宋_GB2312" w:hAnsi="仿宋_GB2312" w:cs="仿宋_GB2312" w:eastAsia="仿宋_GB2312"/>
        </w:rPr>
        <w:t>和</w:t>
      </w:r>
      <w:r>
        <w:rPr>
          <w:rFonts w:ascii="仿宋_GB2312" w:hAnsi="仿宋_GB2312" w:cs="仿宋_GB2312" w:eastAsia="仿宋_GB2312"/>
        </w:rPr>
        <w:t>陕西昇杰项目管理有限公司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长安区第五中学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陕西昇杰项目管理有限公司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长安区第五中学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陕西昇杰项目管理有限公司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联系人：付潭</w:t>
      </w:r>
    </w:p>
    <w:p>
      <w:pPr>
        <w:pStyle w:val="null3"/>
      </w:pPr>
      <w:r>
        <w:rPr>
          <w:rFonts w:ascii="仿宋_GB2312" w:hAnsi="仿宋_GB2312" w:cs="仿宋_GB2312" w:eastAsia="仿宋_GB2312"/>
        </w:rPr>
        <w:t>联系电话：15332393126</w:t>
      </w:r>
    </w:p>
    <w:p>
      <w:pPr>
        <w:pStyle w:val="null3"/>
      </w:pPr>
      <w:r>
        <w:rPr>
          <w:rFonts w:ascii="仿宋_GB2312" w:hAnsi="仿宋_GB2312" w:cs="仿宋_GB2312" w:eastAsia="仿宋_GB2312"/>
        </w:rPr>
        <w:t>地址：陕西省西安市雁塔区电子城街道泰维智链中心1期B栋202室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925,138.42</w:t>
      </w:r>
    </w:p>
    <w:p>
      <w:pPr>
        <w:pStyle w:val="null3"/>
      </w:pPr>
      <w:r>
        <w:rPr>
          <w:rFonts w:ascii="仿宋_GB2312" w:hAnsi="仿宋_GB2312" w:cs="仿宋_GB2312" w:eastAsia="仿宋_GB2312"/>
        </w:rPr>
        <w:t>采购包最高限价（元）: 925,138.42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化粪池拆除与新建工程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925,138.42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标的名称：化粪池拆除与新建工程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一、项目名称</w:t>
            </w:r>
          </w:p>
          <w:p>
            <w:pPr>
              <w:pStyle w:val="null3"/>
              <w:jc w:val="both"/>
            </w:pPr>
            <w:r>
              <w:rPr>
                <w:rFonts w:ascii="仿宋_GB2312" w:hAnsi="仿宋_GB2312" w:cs="仿宋_GB2312" w:eastAsia="仿宋_GB2312"/>
                <w:sz w:val="21"/>
              </w:rPr>
              <w:t>化粪池拆除与新建工程</w:t>
            </w:r>
          </w:p>
          <w:p>
            <w:pPr>
              <w:pStyle w:val="null3"/>
              <w:jc w:val="both"/>
            </w:pPr>
            <w:r>
              <w:rPr>
                <w:rFonts w:ascii="仿宋_GB2312" w:hAnsi="仿宋_GB2312" w:cs="仿宋_GB2312" w:eastAsia="仿宋_GB2312"/>
                <w:sz w:val="21"/>
              </w:rPr>
              <w:t>二、项目概况</w:t>
            </w:r>
          </w:p>
          <w:p>
            <w:pPr>
              <w:pStyle w:val="null3"/>
              <w:jc w:val="both"/>
            </w:pPr>
            <w:r>
              <w:rPr>
                <w:rFonts w:ascii="仿宋_GB2312" w:hAnsi="仿宋_GB2312" w:cs="仿宋_GB2312" w:eastAsia="仿宋_GB2312"/>
                <w:sz w:val="21"/>
              </w:rPr>
              <w:t>基本情况：学校历史悠久，基础设施陈旧，化粪池年久破损，掩体变薄，存在极大安全隐患，实施后可明显改善学校的生活环境。</w:t>
            </w:r>
          </w:p>
          <w:p>
            <w:pPr>
              <w:pStyle w:val="null3"/>
              <w:jc w:val="both"/>
            </w:pPr>
            <w:r>
              <w:rPr>
                <w:rFonts w:ascii="仿宋_GB2312" w:hAnsi="仿宋_GB2312" w:cs="仿宋_GB2312" w:eastAsia="仿宋_GB2312"/>
                <w:sz w:val="21"/>
              </w:rPr>
              <w:t>项目地址：西安市高新区五星街道灵感寺甲字</w:t>
            </w:r>
            <w:r>
              <w:rPr>
                <w:rFonts w:ascii="仿宋_GB2312" w:hAnsi="仿宋_GB2312" w:cs="仿宋_GB2312" w:eastAsia="仿宋_GB2312"/>
                <w:sz w:val="21"/>
              </w:rPr>
              <w:t>3</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项目范围：该项目范围包含：拆除行政楼前原有化粪池、男生公寓北侧原有两个化粪池，新建行政楼前混凝土现浇化粪池一个，新建男生公寓北侧混凝土现浇化粪池一个。</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符合相关国家行业质量标准及验收要求。</w:t>
            </w:r>
          </w:p>
          <w:p>
            <w:pPr>
              <w:pStyle w:val="null3"/>
              <w:jc w:val="both"/>
            </w:pPr>
            <w:r>
              <w:rPr>
                <w:rFonts w:ascii="仿宋_GB2312" w:hAnsi="仿宋_GB2312" w:cs="仿宋_GB2312" w:eastAsia="仿宋_GB2312"/>
                <w:sz w:val="21"/>
              </w:rPr>
              <w:t>四、工期要求</w:t>
            </w:r>
          </w:p>
          <w:p>
            <w:pPr>
              <w:pStyle w:val="null3"/>
              <w:jc w:val="both"/>
            </w:pP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五、验收要求</w:t>
            </w:r>
          </w:p>
          <w:p>
            <w:pPr>
              <w:pStyle w:val="null3"/>
              <w:jc w:val="both"/>
            </w:pPr>
            <w:r>
              <w:rPr>
                <w:rFonts w:ascii="仿宋_GB2312" w:hAnsi="仿宋_GB2312" w:cs="仿宋_GB2312" w:eastAsia="仿宋_GB2312"/>
                <w:sz w:val="21"/>
              </w:rPr>
              <w:t>施工过程中甲方有权对质量进行检查、监督，如有不符合符合国家现行施工验收规范合格标准及采购人要求。施工单位应予返工，如拒不执行，甲方有权单方终止合同，由此造成的一切损失由施工单位自负。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按照施工图纸、工程量清单及采购人要求施工，工程必须符合施工安全生产规范标准和国家工程验收合格标准。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 （3）若磋商文件中相关内容与新政策要求有出入，按照最新要求执行。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供应商需在项目电子化交易系统中按要求填写《响应函》，并按要求上传相应证明文件并进行电子签章。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递交响应文件截止时间前六个月内任意一个月的本单位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供应商须具有效的建设行政主管部门颁发的建筑工程施工总承包三级及以上资质，同时须具有效的安全生产许可证；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拟派项目经理资质证明</w:t>
            </w:r>
          </w:p>
        </w:tc>
        <w:tc>
          <w:tcPr>
            <w:tcW w:type="dxa" w:w="3322"/>
          </w:tcPr>
          <w:p>
            <w:pPr>
              <w:pStyle w:val="null3"/>
            </w:pPr>
            <w:r>
              <w:rPr>
                <w:rFonts w:ascii="仿宋_GB2312" w:hAnsi="仿宋_GB2312" w:cs="仿宋_GB2312" w:eastAsia="仿宋_GB2312"/>
              </w:rPr>
              <w:t>拟派项目经理须具有建筑工程专业二级及以上（含二级）注册建造师资格证书及具备有效的安全生产考核证书B证，在本单位注册且无在建项目；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响应方案.docx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符合第七章“磋商响应文件文件格式”的要求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响应方案.docx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不高于采购预算和最高限价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符合“采购内容及要求” 中的实质性要求和条件 。</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响应方案.docx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对磋商响应文件文件响应程度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响应方案.docx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1.提供针对本项目的具体实施思路、工作计划，充分理解项目需求，思路清晰、方向明确，工作计划详细、合理，完全满足本项目需求得10分； 2.思路较清晰、方向明确，工作计划较详细，满足本项目需求得8分； 3.思路基本清晰、方向基本明确，工作计划基本合理，基本满足本项目需求得6分； 4.思路表达不清、方向不明确，工作计划合理性一般，部分满足本项目需求得4分； 5.思路表达较差，工作计划不合理性，不太满足本项目需求得2分； 6.缺项得0分。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1.提供针对本项目措施方案，包括但不限于对施工进行全过程的质量检查，对施工材料、施工方法及实体质量的措施内容，措施内容合理可行完全符合项目需求的得8分； 2.措施内容合理可行基本满足项目需求的得6分； 3.措施内容合理可行部分符合项目需求得4分； 4.措施内容一般，不太符合项目需求得2分； 5.缺项得0分。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1.提供针对本项目制定的措施方案，包括但不限于施工准备保证、划分各节点工期,分析确定重点工程工期等内容，确保工期的技术组织措施。方案思路清晰、合理、科学详细完整、可行性强的得7分； 2.方案思路较清晰、较合理、较科学详细完整、可行性较强得5分； 3.方案思路基本合理、基本完整、可行性一般得3分； 4.方案思路较差、可行性较差得1分； 5.缺项得0分。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1.提供针对本项目制定的措施方案，包括但不限于安全管理制度、安全教育培训等内容，方案思路清晰、合理、科学详细完整、可行性强的得7分； 2.方案思路较清晰、较合理、较科学详细完整、可行性较强得5分； 3.方案思路基本合理、基本完整、可行性一般得3分； 4.方案思路较差、可行性较差得1分； 5.缺项得0分。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1.提供针对本项目制定的措施方案，包括但不限于施工工地的现场场容场貌、机械管理的存放、生活卫生的处理、防治大气污染等内容，方案科学合理、可行性强得6分； 2.方案较科学合理、可行性较强得4分； 3.方案基本合理、可行性一般得2分； 4.方案思路较差、可行性较差得1分； 5.缺项得0分。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1.项目管理机构业务能力强、管理水平高和具有丰富施工经验，劳动力安排配备合理、分工明确并完全符合项目采购需求的得6分； 2.劳动力安排配备较合理、分工较明确，基本符合项目采购需求的得4分； 3.劳动力安排配备基本合理、分工基本明确，部分符合项目采购需求的得2分； 4.劳动力安排配备较差、分工不明确，不太符合项目采购需求的得1分； 5.缺项得0分。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设备配备和材料投入计划</w:t>
            </w:r>
          </w:p>
        </w:tc>
        <w:tc>
          <w:tcPr>
            <w:tcW w:type="dxa" w:w="2492"/>
          </w:tcPr>
          <w:p>
            <w:pPr>
              <w:pStyle w:val="null3"/>
            </w:pPr>
            <w:r>
              <w:rPr>
                <w:rFonts w:ascii="仿宋_GB2312" w:hAnsi="仿宋_GB2312" w:cs="仿宋_GB2312" w:eastAsia="仿宋_GB2312"/>
              </w:rPr>
              <w:t>1.提供针对本项目制定的计划，包括但不限于主要设备配备和工程材料计划等内容，计划目录完善，相关证明材料齐全得6分； 2.计划目录较完善，相关证明材料较齐全得4分； 3.计划目录基本完善，相关证明材料基本齐全得2分； 4.计划目录不完善，相关证明材料不齐全得1分； 5.缺项得0分。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工程质量承诺及后续服务</w:t>
            </w:r>
          </w:p>
        </w:tc>
        <w:tc>
          <w:tcPr>
            <w:tcW w:type="dxa" w:w="2492"/>
          </w:tcPr>
          <w:p>
            <w:pPr>
              <w:pStyle w:val="null3"/>
            </w:pPr>
            <w:r>
              <w:rPr>
                <w:rFonts w:ascii="仿宋_GB2312" w:hAnsi="仿宋_GB2312" w:cs="仿宋_GB2312" w:eastAsia="仿宋_GB2312"/>
              </w:rPr>
              <w:t>1.质量承诺及后续服务内容详尽、全面、有效、合理，可实施性强，得5分； 2.质量承诺及后续服务内容基本完整、合理，可实施性较强，得4分； 3.质量承诺及后续服务内容一般，具有一定实施性，得3分； 4.质量承诺及后续服务内容较差，可实施性较差，得1分； 5.缺项得0分。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1.内容针对性强、科学合理可行性强得5分； 2.内容针对性较强、科学合理可行性较强得4分； 3.内容针对性一般、基本可行得3分； 4.内容针对性较差、不太可行得1分； 5.缺项得0分。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施工方案效果图</w:t>
            </w:r>
          </w:p>
        </w:tc>
        <w:tc>
          <w:tcPr>
            <w:tcW w:type="dxa" w:w="2492"/>
          </w:tcPr>
          <w:p>
            <w:pPr>
              <w:pStyle w:val="null3"/>
            </w:pPr>
            <w:r>
              <w:rPr>
                <w:rFonts w:ascii="仿宋_GB2312" w:hAnsi="仿宋_GB2312" w:cs="仿宋_GB2312" w:eastAsia="仿宋_GB2312"/>
              </w:rPr>
              <w:t>1.施工方案效果图符合学校特色及采购人要求，可实施性强，得5分； 2.施工方案效果图较美观，基本符合，具有一定实施性，得4分； 3.施工方案效果图一般，得3分； 4.施工方案效果图较差，得1分； 5.缺项得0分。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供应商提供2023年1月起至今类似业绩合同，每一项1分，（以合同签订时间为准），最高得5分。注：提供合同复印件并加盖单位公章。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满足竞争性磋商文件要求且磋商总报价最低为评审基准价，其价格分为满分。 报价得分=（评审基准价／磋商总报价）×权值×100。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