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3D0C5F6A">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甲方（采购人）： </w:t>
      </w:r>
    </w:p>
    <w:p w14:paraId="3EE4D4B3">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 xml:space="preserve">乙方（成交供应商）： </w:t>
      </w:r>
    </w:p>
    <w:p w14:paraId="617C2D17">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u w:val="single"/>
          <w:lang w:eastAsia="zh-CN"/>
        </w:rPr>
        <w:t>涉案人员体检项目</w:t>
      </w:r>
      <w:r>
        <w:rPr>
          <w:rFonts w:hint="eastAsia" w:ascii="仿宋_GB2312" w:hAnsi="仿宋_GB2312" w:eastAsia="仿宋_GB2312" w:cs="仿宋_GB2312"/>
          <w:bCs/>
          <w:sz w:val="28"/>
          <w:szCs w:val="28"/>
          <w:u w:val="single"/>
        </w:rPr>
        <w:t>(项目编号：</w:t>
      </w:r>
      <w:r>
        <w:rPr>
          <w:rFonts w:hint="eastAsia" w:ascii="仿宋_GB2312" w:hAnsi="仿宋_GB2312" w:eastAsia="仿宋_GB2312" w:cs="仿宋_GB2312"/>
          <w:bCs/>
          <w:sz w:val="28"/>
          <w:szCs w:val="28"/>
          <w:u w:val="single"/>
          <w:lang w:eastAsia="zh-CN"/>
        </w:rPr>
        <w:t>SXHC2025-286</w:t>
      </w:r>
      <w:r>
        <w:rPr>
          <w:rFonts w:hint="eastAsia" w:ascii="仿宋_GB2312" w:hAnsi="仿宋_GB2312" w:eastAsia="仿宋_GB2312" w:cs="仿宋_GB2312"/>
          <w:bCs/>
          <w:sz w:val="28"/>
          <w:szCs w:val="28"/>
          <w:u w:val="single"/>
        </w:rPr>
        <w:t>)</w:t>
      </w:r>
      <w:r>
        <w:rPr>
          <w:rFonts w:hint="eastAsia" w:ascii="仿宋_GB2312" w:hAnsi="仿宋_GB2312" w:eastAsia="仿宋_GB2312" w:cs="仿宋_GB2312"/>
          <w:bCs/>
          <w:sz w:val="28"/>
          <w:szCs w:val="28"/>
        </w:rPr>
        <w:t>，由陕西华采招标有限公司组织竞争性磋商，</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(以下简称“甲方”)确定</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（以下简称“乙方”）为该项目的成交供应商。</w:t>
      </w:r>
    </w:p>
    <w:p w14:paraId="2583F55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依据《中华人民共和国民法典》和《中华人民共和国政府采购法》之规定，经双方在平等、自愿、互利的基础上，签订本合同，共同信守。</w:t>
      </w:r>
    </w:p>
    <w:p w14:paraId="6D499FBC">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一、合同价款</w:t>
      </w:r>
    </w:p>
    <w:p w14:paraId="13A71538">
      <w:pPr>
        <w:keepNext w:val="0"/>
        <w:keepLines w:val="0"/>
        <w:pageBreakBefore w:val="0"/>
        <w:widowControl w:val="0"/>
        <w:kinsoku w:val="0"/>
        <w:wordWrap w:val="0"/>
        <w:overflowPunct/>
        <w:topLinePunct w:val="0"/>
        <w:autoSpaceDE w:val="0"/>
        <w:autoSpaceDN w:val="0"/>
        <w:bidi w:val="0"/>
        <w:adjustRightInd w:val="0"/>
        <w:snapToGrid w:val="0"/>
        <w:spacing w:line="360" w:lineRule="auto"/>
        <w:ind w:firstLine="562" w:firstLineChars="200"/>
        <w:textAlignment w:val="baseline"/>
        <w:rPr>
          <w:rFonts w:hint="default" w:ascii="仿宋_GB2312" w:hAnsi="仿宋" w:eastAsia="仿宋_GB2312"/>
          <w:bCs/>
          <w:sz w:val="28"/>
          <w:szCs w:val="28"/>
          <w:highlight w:val="none"/>
          <w:lang w:val="en-US" w:eastAsia="zh-CN"/>
        </w:rPr>
      </w:pPr>
      <w:r>
        <w:rPr>
          <w:rFonts w:hint="eastAsia" w:ascii="仿宋_GB2312" w:hAnsi="仿宋" w:eastAsia="仿宋_GB2312"/>
          <w:b/>
          <w:bCs w:val="0"/>
          <w:sz w:val="28"/>
          <w:szCs w:val="28"/>
          <w:highlight w:val="none"/>
        </w:rPr>
        <w:t>（一）</w:t>
      </w:r>
      <w:r>
        <w:rPr>
          <w:rFonts w:hint="eastAsia" w:ascii="仿宋_GB2312" w:hAnsi="仿宋" w:eastAsia="仿宋_GB2312"/>
          <w:b/>
          <w:bCs w:val="0"/>
          <w:sz w:val="28"/>
          <w:szCs w:val="28"/>
          <w:highlight w:val="none"/>
          <w:lang w:eastAsia="zh-CN"/>
        </w:rPr>
        <w:t>本项目为固定单价合同，固定单价</w:t>
      </w:r>
      <w:r>
        <w:rPr>
          <w:rFonts w:hint="eastAsia" w:ascii="仿宋_GB2312" w:hAnsi="仿宋" w:eastAsia="仿宋_GB2312"/>
          <w:b/>
          <w:bCs w:val="0"/>
          <w:sz w:val="28"/>
          <w:szCs w:val="28"/>
          <w:highlight w:val="none"/>
          <w:lang w:val="en-US" w:eastAsia="zh-CN"/>
        </w:rPr>
        <w:t>男性：</w:t>
      </w:r>
      <w:r>
        <w:rPr>
          <w:rFonts w:hint="eastAsia" w:ascii="仿宋_GB2312" w:hAnsi="仿宋" w:eastAsia="仿宋_GB2312"/>
          <w:b/>
          <w:bCs w:val="0"/>
          <w:sz w:val="28"/>
          <w:szCs w:val="28"/>
          <w:highlight w:val="none"/>
          <w:u w:val="single"/>
        </w:rPr>
        <w:t xml:space="preserve">      </w:t>
      </w:r>
      <w:r>
        <w:rPr>
          <w:rFonts w:hint="eastAsia" w:ascii="仿宋_GB2312" w:hAnsi="仿宋" w:eastAsia="仿宋_GB2312"/>
          <w:b/>
          <w:bCs w:val="0"/>
          <w:sz w:val="28"/>
          <w:szCs w:val="28"/>
          <w:highlight w:val="none"/>
          <w:u w:val="none"/>
          <w:lang w:val="en-US" w:eastAsia="zh-CN"/>
        </w:rPr>
        <w:t>元/人/次；</w:t>
      </w:r>
      <w:r>
        <w:rPr>
          <w:rFonts w:hint="eastAsia" w:ascii="仿宋_GB2312" w:hAnsi="仿宋" w:eastAsia="仿宋_GB2312"/>
          <w:b/>
          <w:bCs w:val="0"/>
          <w:sz w:val="28"/>
          <w:szCs w:val="28"/>
          <w:highlight w:val="none"/>
          <w:lang w:val="en-US" w:eastAsia="zh-CN"/>
        </w:rPr>
        <w:t>女性：</w:t>
      </w:r>
      <w:r>
        <w:rPr>
          <w:rFonts w:hint="eastAsia" w:ascii="仿宋_GB2312" w:hAnsi="仿宋" w:eastAsia="仿宋_GB2312"/>
          <w:b/>
          <w:bCs w:val="0"/>
          <w:sz w:val="28"/>
          <w:szCs w:val="28"/>
          <w:highlight w:val="none"/>
          <w:u w:val="single"/>
        </w:rPr>
        <w:t xml:space="preserve">      </w:t>
      </w:r>
      <w:r>
        <w:rPr>
          <w:rFonts w:hint="eastAsia" w:ascii="仿宋_GB2312" w:hAnsi="仿宋" w:eastAsia="仿宋_GB2312"/>
          <w:b/>
          <w:bCs w:val="0"/>
          <w:sz w:val="28"/>
          <w:szCs w:val="28"/>
          <w:highlight w:val="none"/>
          <w:u w:val="none"/>
          <w:lang w:val="en-US" w:eastAsia="zh-CN"/>
        </w:rPr>
        <w:t>元/人/次，在合同执行过程中根据实际情况据实结算，最终结算款项合计</w:t>
      </w:r>
      <w:r>
        <w:rPr>
          <w:rFonts w:hint="eastAsia" w:ascii="仿宋_GB2312" w:hAnsi="仿宋" w:eastAsia="仿宋_GB2312"/>
          <w:b/>
          <w:bCs w:val="0"/>
          <w:color w:val="auto"/>
          <w:sz w:val="28"/>
          <w:szCs w:val="28"/>
          <w:highlight w:val="none"/>
          <w:vertAlign w:val="baseline"/>
          <w:lang w:val="en-US" w:eastAsia="zh-CN"/>
        </w:rPr>
        <w:t>不超过项目预算600000.00元。</w:t>
      </w:r>
    </w:p>
    <w:p w14:paraId="62CC445A">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（二）合同</w:t>
      </w:r>
      <w:r>
        <w:rPr>
          <w:rFonts w:hint="eastAsia" w:ascii="仿宋_GB2312" w:hAnsi="仿宋" w:eastAsia="仿宋_GB2312"/>
          <w:bCs/>
          <w:sz w:val="28"/>
          <w:szCs w:val="28"/>
          <w:lang w:eastAsia="zh-CN"/>
        </w:rPr>
        <w:t>单价</w:t>
      </w:r>
      <w:r>
        <w:rPr>
          <w:rFonts w:hint="eastAsia" w:ascii="仿宋_GB2312" w:hAnsi="仿宋" w:eastAsia="仿宋_GB2312"/>
          <w:bCs/>
          <w:sz w:val="28"/>
          <w:szCs w:val="28"/>
        </w:rPr>
        <w:t>价款包括但不限于</w:t>
      </w:r>
      <w:r>
        <w:rPr>
          <w:rFonts w:hint="eastAsia" w:ascii="仿宋_GB2312" w:hAnsi="仿宋" w:eastAsia="仿宋_GB2312"/>
          <w:bCs/>
          <w:sz w:val="28"/>
          <w:szCs w:val="28"/>
          <w:highlight w:val="none"/>
          <w:lang w:val="en-US" w:eastAsia="zh-CN"/>
        </w:rPr>
        <w:t>体检费</w:t>
      </w:r>
      <w:r>
        <w:rPr>
          <w:rFonts w:hint="eastAsia" w:ascii="仿宋_GB2312" w:hAnsi="仿宋" w:eastAsia="仿宋_GB2312"/>
          <w:bCs/>
          <w:sz w:val="28"/>
          <w:szCs w:val="28"/>
          <w:highlight w:val="none"/>
          <w:lang w:val="zh-CN"/>
        </w:rPr>
        <w:t>、</w:t>
      </w:r>
      <w:r>
        <w:rPr>
          <w:rFonts w:hint="eastAsia" w:ascii="仿宋_GB2312" w:hAnsi="仿宋_GB2312" w:eastAsia="仿宋_GB2312" w:cs="仿宋_GB2312"/>
          <w:color w:val="auto"/>
          <w:sz w:val="28"/>
          <w:szCs w:val="28"/>
          <w:highlight w:val="none"/>
          <w:lang w:val="en-US" w:eastAsia="zh-CN"/>
        </w:rPr>
        <w:t>实施费、</w:t>
      </w:r>
      <w:r>
        <w:rPr>
          <w:rFonts w:hint="eastAsia" w:ascii="仿宋_GB2312" w:hAnsi="仿宋" w:eastAsia="仿宋_GB2312"/>
          <w:bCs/>
          <w:sz w:val="28"/>
          <w:szCs w:val="28"/>
          <w:highlight w:val="none"/>
          <w:lang w:val="en-US" w:eastAsia="zh-CN"/>
        </w:rPr>
        <w:t>管理费、</w:t>
      </w:r>
      <w:r>
        <w:rPr>
          <w:rFonts w:hint="eastAsia" w:ascii="仿宋_GB2312" w:hAnsi="仿宋" w:eastAsia="仿宋_GB2312"/>
          <w:bCs/>
          <w:sz w:val="28"/>
          <w:szCs w:val="28"/>
          <w:highlight w:val="none"/>
        </w:rPr>
        <w:t>不可预见费用、</w:t>
      </w:r>
      <w:r>
        <w:rPr>
          <w:rFonts w:hint="eastAsia" w:ascii="仿宋_GB2312" w:hAnsi="仿宋" w:eastAsia="仿宋_GB2312"/>
          <w:bCs/>
          <w:sz w:val="28"/>
          <w:szCs w:val="28"/>
          <w:lang w:val="zh-CN"/>
        </w:rPr>
        <w:t>直接费、间接费及其他相关的一切费用。</w:t>
      </w:r>
    </w:p>
    <w:p w14:paraId="6D0500EF">
      <w:pPr>
        <w:pStyle w:val="21"/>
        <w:spacing w:line="360" w:lineRule="auto"/>
        <w:ind w:firstLine="562" w:firstLineChars="200"/>
        <w:rPr>
          <w:rFonts w:hint="default" w:eastAsia="仿宋_GB2312"/>
          <w:u w:val="single"/>
          <w:lang w:val="en-US" w:eastAsia="zh-CN"/>
        </w:rPr>
      </w:pPr>
      <w:r>
        <w:rPr>
          <w:rFonts w:hint="eastAsia" w:ascii="仿宋_GB2312" w:hAnsi="仿宋" w:eastAsia="仿宋_GB2312"/>
          <w:b/>
          <w:bCs/>
          <w:color w:val="auto"/>
          <w:sz w:val="28"/>
          <w:szCs w:val="28"/>
        </w:rPr>
        <w:t>二、委托工作内容：</w:t>
      </w:r>
      <w:r>
        <w:rPr>
          <w:rFonts w:hint="eastAsia" w:ascii="仿宋_GB2312" w:hAnsi="仿宋" w:eastAsia="仿宋_GB2312"/>
          <w:b/>
          <w:bCs/>
          <w:color w:val="auto"/>
          <w:sz w:val="28"/>
          <w:szCs w:val="28"/>
          <w:u w:val="single"/>
          <w:lang w:val="en-US" w:eastAsia="zh-CN"/>
        </w:rPr>
        <w:t xml:space="preserve">                                 </w:t>
      </w:r>
      <w:r>
        <w:rPr>
          <w:rFonts w:hint="eastAsia" w:ascii="仿宋_GB2312" w:hAnsi="仿宋" w:eastAsia="仿宋_GB2312"/>
          <w:b/>
          <w:bCs/>
          <w:color w:val="auto"/>
          <w:sz w:val="28"/>
          <w:szCs w:val="28"/>
          <w:u w:val="none"/>
          <w:lang w:val="en-US" w:eastAsia="zh-CN"/>
        </w:rPr>
        <w:t>。</w:t>
      </w:r>
    </w:p>
    <w:p w14:paraId="07EEBB6B">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三、款项结算</w:t>
      </w:r>
    </w:p>
    <w:p w14:paraId="551D8029">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val="en-US" w:eastAsia="zh-CN"/>
        </w:rPr>
      </w:pPr>
      <w:r>
        <w:rPr>
          <w:rFonts w:hint="eastAsia" w:ascii="仿宋_GB2312" w:hAnsi="仿宋" w:eastAsia="仿宋_GB2312"/>
          <w:bCs/>
          <w:sz w:val="28"/>
          <w:szCs w:val="28"/>
          <w:highlight w:val="none"/>
        </w:rPr>
        <w:t>（一）付款</w:t>
      </w:r>
      <w:r>
        <w:rPr>
          <w:rFonts w:hint="eastAsia" w:ascii="仿宋_GB2312" w:hAnsi="仿宋" w:eastAsia="仿宋_GB2312"/>
          <w:bCs/>
          <w:sz w:val="28"/>
          <w:szCs w:val="28"/>
          <w:highlight w:val="none"/>
          <w:lang w:val="en-US" w:eastAsia="zh-CN"/>
        </w:rPr>
        <w:t>方式：</w:t>
      </w:r>
    </w:p>
    <w:p w14:paraId="70686D83">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lang w:eastAsia="zh-CN"/>
        </w:rPr>
      </w:pPr>
      <w:r>
        <w:rPr>
          <w:rFonts w:hint="eastAsia" w:ascii="仿宋_GB2312" w:hAnsi="仿宋_GB2312" w:eastAsia="仿宋_GB2312" w:cs="仿宋_GB2312"/>
          <w:sz w:val="28"/>
          <w:szCs w:val="28"/>
          <w:lang w:val="en-US" w:eastAsia="zh-CN"/>
        </w:rPr>
        <w:t>体检费用以每月体检结束后实际参加人数为准，乙方将每月体检人员名单、体检项目及金额、总费用按</w:t>
      </w:r>
      <w:r>
        <w:rPr>
          <w:rFonts w:hint="eastAsia" w:ascii="仿宋_GB2312" w:hAnsi="仿宋_GB2312" w:eastAsia="仿宋_GB2312" w:cs="仿宋_GB2312"/>
          <w:sz w:val="28"/>
          <w:szCs w:val="28"/>
          <w:highlight w:val="none"/>
          <w:lang w:val="en-US" w:eastAsia="zh-CN"/>
        </w:rPr>
        <w:t>要求</w:t>
      </w:r>
      <w:r>
        <w:rPr>
          <w:rFonts w:hint="eastAsia" w:ascii="仿宋_GB2312" w:hAnsi="仿宋_GB2312" w:eastAsia="仿宋_GB2312" w:cs="仿宋_GB2312"/>
          <w:sz w:val="28"/>
          <w:szCs w:val="28"/>
          <w:lang w:val="en-US" w:eastAsia="zh-CN"/>
        </w:rPr>
        <w:t>提供给甲方，按月结算</w:t>
      </w:r>
      <w:r>
        <w:rPr>
          <w:rFonts w:hint="eastAsia" w:ascii="仿宋_GB2312" w:hAnsi="仿宋" w:eastAsia="仿宋_GB2312"/>
          <w:bCs/>
          <w:sz w:val="28"/>
          <w:szCs w:val="28"/>
          <w:highlight w:val="none"/>
          <w:lang w:val="en-US" w:eastAsia="zh-CN"/>
        </w:rPr>
        <w:t>。</w:t>
      </w:r>
    </w:p>
    <w:p w14:paraId="5B78C9A1">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 w:eastAsia="仿宋_GB2312" w:cs="Times New Roman"/>
          <w:bCs/>
          <w:sz w:val="28"/>
          <w:szCs w:val="28"/>
          <w:highlight w:val="none"/>
          <w:lang w:eastAsia="zh-CN"/>
        </w:rPr>
        <w:t>（二）结算方式：银行转账。</w:t>
      </w:r>
    </w:p>
    <w:p w14:paraId="76C03CE6">
      <w:pPr>
        <w:autoSpaceDE w:val="0"/>
        <w:autoSpaceDN w:val="0"/>
        <w:adjustRightInd w:val="0"/>
        <w:snapToGrid w:val="0"/>
        <w:spacing w:line="360" w:lineRule="auto"/>
        <w:ind w:firstLine="560" w:firstLineChars="200"/>
        <w:rPr>
          <w:rFonts w:hint="eastAsia" w:ascii="仿宋_GB2312" w:hAnsi="仿宋" w:eastAsia="仿宋_GB2312" w:cs="Times New Roman"/>
          <w:bCs/>
          <w:sz w:val="28"/>
          <w:szCs w:val="28"/>
          <w:highlight w:val="none"/>
          <w:lang w:eastAsia="zh-CN"/>
        </w:rPr>
      </w:pPr>
      <w:r>
        <w:rPr>
          <w:rFonts w:hint="eastAsia" w:ascii="仿宋_GB2312" w:hAnsi="仿宋" w:eastAsia="仿宋_GB2312" w:cs="Times New Roman"/>
          <w:bCs/>
          <w:sz w:val="28"/>
          <w:szCs w:val="28"/>
          <w:highlight w:val="none"/>
          <w:lang w:eastAsia="zh-CN"/>
        </w:rPr>
        <w:t>（三）结算单位：由甲方负责结算，乙方开具合同价款的全额发票给甲方。</w:t>
      </w:r>
    </w:p>
    <w:p w14:paraId="6D205921">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四、服务地点及服务期</w:t>
      </w:r>
    </w:p>
    <w:p w14:paraId="6706125E">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（一）服务地点：</w:t>
      </w:r>
      <w:r>
        <w:rPr>
          <w:rFonts w:hint="eastAsia" w:ascii="仿宋_GB2312" w:hAnsi="仿宋_GB2312" w:eastAsia="仿宋_GB2312" w:cs="仿宋_GB2312"/>
          <w:sz w:val="28"/>
          <w:szCs w:val="28"/>
          <w:highlight w:val="none"/>
          <w:lang w:val="en-US" w:eastAsia="zh-CN"/>
        </w:rPr>
        <w:t>位于西安市公安局高新技术产业开发区分局执法办案中心（丈八六路7号金盾大厦）</w:t>
      </w:r>
      <w:r>
        <w:rPr>
          <w:rFonts w:hint="eastAsia" w:ascii="仿宋_GB2312" w:hAnsi="仿宋" w:eastAsia="仿宋_GB2312"/>
          <w:bCs/>
          <w:sz w:val="28"/>
          <w:szCs w:val="28"/>
          <w:highlight w:val="none"/>
        </w:rPr>
        <w:t>。</w:t>
      </w:r>
    </w:p>
    <w:p w14:paraId="62B71268">
      <w:pPr>
        <w:pStyle w:val="11"/>
        <w:widowControl w:val="0"/>
        <w:kinsoku/>
        <w:autoSpaceDE/>
        <w:autoSpaceDN/>
        <w:adjustRightInd w:val="0"/>
        <w:snapToGrid w:val="0"/>
        <w:spacing w:before="0" w:beforeAutospacing="0" w:after="0" w:afterAutospacing="0" w:line="360" w:lineRule="auto"/>
        <w:ind w:firstLine="560" w:firstLineChars="200"/>
        <w:textAlignment w:val="auto"/>
        <w:rPr>
          <w:rFonts w:hint="eastAsia" w:ascii="仿宋_GB2312" w:hAnsi="仿宋_GB2312" w:eastAsia="仿宋_GB2312" w:cs="仿宋_GB2312"/>
          <w:snapToGrid/>
          <w:color w:val="auto"/>
          <w:sz w:val="28"/>
          <w:szCs w:val="28"/>
          <w:highlight w:val="none"/>
          <w:lang w:eastAsia="zh-CN"/>
        </w:rPr>
      </w:pPr>
      <w:r>
        <w:rPr>
          <w:rFonts w:hint="eastAsia" w:ascii="仿宋_GB2312" w:hAnsi="仿宋" w:eastAsia="仿宋_GB2312"/>
          <w:bCs/>
          <w:sz w:val="28"/>
          <w:szCs w:val="28"/>
          <w:highlight w:val="none"/>
        </w:rPr>
        <w:t>（二）服务期：</w:t>
      </w:r>
      <w:r>
        <w:rPr>
          <w:rFonts w:hint="eastAsia" w:ascii="仿宋_GB2312" w:hAnsi="仿宋" w:eastAsia="仿宋_GB2312"/>
          <w:bCs/>
          <w:sz w:val="28"/>
          <w:szCs w:val="28"/>
          <w:highlight w:val="none"/>
          <w:lang w:eastAsia="zh-CN"/>
        </w:rPr>
        <w:t>自合同签订之日起</w:t>
      </w:r>
      <w:r>
        <w:rPr>
          <w:rFonts w:hint="eastAsia" w:ascii="仿宋_GB2312" w:hAnsi="仿宋" w:eastAsia="仿宋_GB2312"/>
          <w:bCs/>
          <w:sz w:val="28"/>
          <w:szCs w:val="28"/>
          <w:highlight w:val="none"/>
          <w:lang w:val="en-US" w:eastAsia="zh-CN"/>
        </w:rPr>
        <w:t>一年</w:t>
      </w:r>
      <w:r>
        <w:rPr>
          <w:rFonts w:hint="eastAsia" w:ascii="仿宋_GB2312" w:hAnsi="仿宋_GB2312" w:eastAsia="仿宋_GB2312" w:cs="仿宋_GB2312"/>
          <w:sz w:val="28"/>
          <w:szCs w:val="28"/>
          <w:highlight w:val="none"/>
          <w:lang w:val="en-US" w:eastAsia="zh-CN"/>
        </w:rPr>
        <w:t>。在后期项目实施阶段甲方可根据《政府购买服务管理办法》(财政部令第102号)文件的规定，在费用不变，合同内容不变，且符合合同服务内容和要求量化考核达标的情况下，为了保证服务工作的延续性，可进行续签，续合同期限不超过两年</w:t>
      </w:r>
      <w:r>
        <w:rPr>
          <w:rFonts w:hint="eastAsia" w:ascii="仿宋_GB2312" w:hAnsi="仿宋_GB2312" w:eastAsia="仿宋_GB2312" w:cs="仿宋_GB2312"/>
          <w:snapToGrid/>
          <w:color w:val="auto"/>
          <w:sz w:val="28"/>
          <w:szCs w:val="28"/>
          <w:highlight w:val="none"/>
          <w:lang w:eastAsia="zh-CN"/>
        </w:rPr>
        <w:t>。</w:t>
      </w:r>
    </w:p>
    <w:p w14:paraId="18CF5EA4">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五、双方的权利和义务</w:t>
      </w:r>
    </w:p>
    <w:p w14:paraId="3AF09E9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06A3B255">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1、甲方负责配合本次项目服务工作；</w:t>
      </w:r>
    </w:p>
    <w:p w14:paraId="237A7C6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2、甲方应按本合同的约定</w:t>
      </w:r>
      <w:bookmarkStart w:id="0" w:name="_GoBack"/>
      <w:bookmarkEnd w:id="0"/>
      <w:r>
        <w:rPr>
          <w:rFonts w:hint="eastAsia" w:ascii="仿宋_GB2312" w:hAnsi="仿宋_GB2312" w:eastAsia="仿宋_GB2312" w:cs="仿宋_GB2312"/>
          <w:color w:val="auto"/>
          <w:sz w:val="28"/>
          <w:szCs w:val="28"/>
          <w:highlight w:val="none"/>
          <w:lang w:val="en-US" w:eastAsia="zh-CN"/>
        </w:rPr>
        <w:t>向乙方支付合同价款；</w:t>
      </w:r>
    </w:p>
    <w:p w14:paraId="36DE3BE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3、甲方根据需要对乙方提供的实施方案进行审核，提供建议及意见，确定最终实施的服务方案，以便乙方遵照执行；</w:t>
      </w:r>
    </w:p>
    <w:p w14:paraId="7C23C96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4、甲方有权对乙方的工作进行监督和考核。</w:t>
      </w:r>
    </w:p>
    <w:p w14:paraId="6F5BA86C">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（二）乙方的权利与义务</w:t>
      </w:r>
    </w:p>
    <w:p w14:paraId="1463F246">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1、乙方的工作人员必须严格遵守甲方的规章制度，以良好的形象和积极的工作态度，按甲方要求开展工作；</w:t>
      </w:r>
    </w:p>
    <w:p w14:paraId="51E46F7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2、乙方应服从甲方统筹管理并按流程开展工作；</w:t>
      </w:r>
    </w:p>
    <w:p w14:paraId="2DFB4A0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color w:val="auto"/>
          <w:sz w:val="28"/>
          <w:szCs w:val="28"/>
          <w:highlight w:val="none"/>
          <w:lang w:val="en-US" w:eastAsia="zh-CN"/>
        </w:rPr>
        <w:t>3、乙方提交的方案等应得到甲方确认再予以实施</w:t>
      </w:r>
      <w:r>
        <w:rPr>
          <w:rFonts w:hint="eastAsia" w:ascii="仿宋_GB2312" w:hAnsi="仿宋" w:eastAsia="仿宋_GB2312"/>
          <w:bCs/>
          <w:sz w:val="28"/>
          <w:szCs w:val="28"/>
        </w:rPr>
        <w:t>。</w:t>
      </w:r>
    </w:p>
    <w:p w14:paraId="74DFCE09">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六、服务质量保证</w:t>
      </w:r>
    </w:p>
    <w:p w14:paraId="0029FA9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782DE0F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56444E7D">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178A03B4">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（四）乙方需设有详细的资料档案和服务档案以便于更好地提供服务</w:t>
      </w:r>
    </w:p>
    <w:p w14:paraId="4D5480BB">
      <w:pPr>
        <w:spacing w:line="360" w:lineRule="auto"/>
        <w:ind w:firstLine="562" w:firstLineChars="200"/>
        <w:rPr>
          <w:rFonts w:hint="eastAsia" w:ascii="仿宋_GB2312" w:hAnsi="仿宋" w:eastAsia="仿宋_GB2312"/>
          <w:b/>
          <w:sz w:val="28"/>
          <w:szCs w:val="28"/>
          <w:lang w:eastAsia="zh-CN"/>
        </w:rPr>
      </w:pPr>
      <w:r>
        <w:rPr>
          <w:rFonts w:hint="eastAsia" w:ascii="仿宋_GB2312" w:hAnsi="仿宋" w:eastAsia="仿宋_GB2312"/>
          <w:b/>
          <w:sz w:val="28"/>
          <w:szCs w:val="28"/>
          <w:lang w:val="en-US" w:eastAsia="zh-CN"/>
        </w:rPr>
        <w:t>七</w:t>
      </w:r>
      <w:r>
        <w:rPr>
          <w:rFonts w:hint="eastAsia" w:ascii="仿宋_GB2312" w:hAnsi="仿宋" w:eastAsia="仿宋_GB2312"/>
          <w:b/>
          <w:sz w:val="28"/>
          <w:szCs w:val="28"/>
        </w:rPr>
        <w:t>、保密</w:t>
      </w:r>
      <w:r>
        <w:rPr>
          <w:rFonts w:hint="eastAsia" w:ascii="仿宋_GB2312" w:hAnsi="仿宋" w:eastAsia="仿宋_GB2312"/>
          <w:b/>
          <w:sz w:val="28"/>
          <w:szCs w:val="28"/>
          <w:lang w:val="en-US" w:eastAsia="zh-CN"/>
        </w:rPr>
        <w:t>规定</w:t>
      </w:r>
    </w:p>
    <w:p w14:paraId="5669456E">
      <w:pPr>
        <w:keepNext w:val="0"/>
        <w:keepLines w:val="0"/>
        <w:pageBreakBefore w:val="0"/>
        <w:widowControl w:val="0"/>
        <w:kinsoku w:val="0"/>
        <w:wordWrap/>
        <w:overflowPunct/>
        <w:topLinePunct w:val="0"/>
        <w:autoSpaceDE w:val="0"/>
        <w:autoSpaceDN w:val="0"/>
        <w:bidi w:val="0"/>
        <w:adjustRightInd w:val="0"/>
        <w:snapToGrid w:val="0"/>
        <w:spacing w:line="360" w:lineRule="auto"/>
        <w:ind w:firstLine="560" w:firstLineChars="200"/>
        <w:textAlignment w:val="baseline"/>
        <w:rPr>
          <w:rFonts w:hint="eastAsia" w:ascii="仿宋_GB2312" w:eastAsia="仿宋_GB2312"/>
          <w:sz w:val="28"/>
          <w:szCs w:val="28"/>
        </w:rPr>
      </w:pPr>
      <w:r>
        <w:rPr>
          <w:rFonts w:hint="eastAsia" w:ascii="仿宋_GB2312" w:hAnsi="仿宋_GB2312" w:eastAsia="仿宋_GB2312" w:cs="仿宋_GB2312"/>
          <w:color w:val="auto"/>
          <w:sz w:val="28"/>
          <w:szCs w:val="28"/>
          <w:highlight w:val="none"/>
          <w:lang w:val="en-US" w:eastAsia="zh-CN"/>
        </w:rPr>
        <w:t>甲、乙双方应永久恪守因签署或履行本合同而获知的对方秘密信息及其它秘密资料。任何一方如将获知的对方秘密信息泄露给第三方，应赔偿因泄密而给对方造成的一切损失并承担相应的法律责任（包括刑事责任）。守约方有权单方解除合同并应按本合同约定总金额的20%向违约方主张违约金。违约金不能弥补守约方损失的，违约方仍应承担全部赔偿责任。违约方赔偿责任范围包括但不限于守约方因违约行为而遭受的直接经济损失、信誉受损以及本合同约定的因维权而支付的相关费用</w:t>
      </w:r>
      <w:r>
        <w:rPr>
          <w:rFonts w:hint="eastAsia" w:ascii="仿宋_GB2312" w:eastAsia="仿宋_GB2312"/>
          <w:sz w:val="28"/>
          <w:szCs w:val="28"/>
        </w:rPr>
        <w:t>。</w:t>
      </w:r>
    </w:p>
    <w:p w14:paraId="437EB944">
      <w:pPr>
        <w:keepNext w:val="0"/>
        <w:keepLines w:val="0"/>
        <w:pageBreakBefore w:val="0"/>
        <w:widowControl w:val="0"/>
        <w:kinsoku/>
        <w:wordWrap w:val="0"/>
        <w:overflowPunct/>
        <w:topLinePunct w:val="0"/>
        <w:autoSpaceDE/>
        <w:autoSpaceDN/>
        <w:bidi w:val="0"/>
        <w:adjustRightInd/>
        <w:snapToGrid/>
        <w:spacing w:line="360" w:lineRule="auto"/>
        <w:ind w:firstLine="562" w:firstLineChars="200"/>
        <w:jc w:val="left"/>
        <w:textAlignment w:val="auto"/>
        <w:rPr>
          <w:rFonts w:hint="eastAsia" w:ascii="仿宋_GB2312" w:hAnsi="仿宋" w:eastAsia="仿宋_GB2312"/>
          <w:b/>
          <w:sz w:val="28"/>
          <w:szCs w:val="28"/>
        </w:rPr>
      </w:pPr>
      <w:r>
        <w:rPr>
          <w:rFonts w:hint="eastAsia" w:ascii="仿宋_GB2312" w:eastAsia="仿宋_GB2312"/>
          <w:b/>
          <w:bCs/>
          <w:sz w:val="28"/>
          <w:szCs w:val="28"/>
          <w:lang w:val="en-US" w:eastAsia="zh-CN"/>
        </w:rPr>
        <w:t>八</w:t>
      </w:r>
      <w:r>
        <w:rPr>
          <w:rFonts w:hint="eastAsia" w:ascii="仿宋_GB2312" w:hAnsi="仿宋" w:eastAsia="仿宋_GB2312"/>
          <w:b/>
          <w:sz w:val="28"/>
          <w:szCs w:val="28"/>
        </w:rPr>
        <w:t>、其他事项</w:t>
      </w:r>
    </w:p>
    <w:p w14:paraId="11994DB8">
      <w:pPr>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（一）乙方不得转让给其它单位或个人。</w:t>
      </w:r>
    </w:p>
    <w:p w14:paraId="35431BA2">
      <w:pPr>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w:t>
      </w:r>
      <w:r>
        <w:rPr>
          <w:rFonts w:hint="eastAsia" w:ascii="仿宋_GB2312" w:hAnsi="仿宋_GB2312" w:eastAsia="仿宋_GB2312" w:cs="仿宋_GB2312"/>
          <w:color w:val="auto"/>
          <w:sz w:val="28"/>
          <w:szCs w:val="28"/>
          <w:highlight w:val="none"/>
          <w:lang w:val="en-US" w:eastAsia="zh-CN"/>
        </w:rPr>
        <w:t>响应</w:t>
      </w:r>
      <w:r>
        <w:rPr>
          <w:rFonts w:hint="eastAsia" w:ascii="仿宋_GB2312" w:hAnsi="仿宋" w:eastAsia="仿宋_GB2312"/>
          <w:bCs/>
          <w:sz w:val="28"/>
          <w:szCs w:val="28"/>
        </w:rPr>
        <w:t>文件和承诺等内容将列入合同。</w:t>
      </w:r>
    </w:p>
    <w:p w14:paraId="6BC298C9">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九</w:t>
      </w:r>
      <w:r>
        <w:rPr>
          <w:rFonts w:hint="eastAsia" w:ascii="仿宋_GB2312" w:hAnsi="仿宋" w:eastAsia="仿宋_GB2312"/>
          <w:b/>
          <w:sz w:val="28"/>
          <w:szCs w:val="28"/>
        </w:rPr>
        <w:t>、违约责任</w:t>
      </w:r>
    </w:p>
    <w:p w14:paraId="14E0DBA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（一）按《中华人民共和国民法典》中的相关条款执行。</w:t>
      </w:r>
    </w:p>
    <w:p w14:paraId="094C5312">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乙方提供服务不能满足甲方采购要求，甲方有权解除本合同，并按合同总金额的20%要求乙方承担违约责任，乙方除应承担违约责任外，还应退还甲方已支付的全部费用，乙方支付的违约金不足以弥补甲方损失的还应承担相应的赔偿；如因甲方原因导致产品不能按期完成，乙方不用承担赔偿责任。</w:t>
      </w:r>
    </w:p>
    <w:p w14:paraId="6F6DB067">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三）如乙方不能按期完成工作任务，每逾期1日，乙方应按合同总金额的0.2%向甲方支付违约金，违约金累计不超过合同总金额的5%，逾期超过25天的，甲方有权单方面解除合同，并按合同总金额的20%要求乙方承担违约责任，乙方除应承担违约责任外，还应退还甲方已支付的全部费用，乙方支付的违约金不足以弥补甲方损失的还应承担相应的赔偿；如因甲方原因导致产品不能按期完成，乙方不用承担赔偿责任。</w:t>
      </w:r>
    </w:p>
    <w:p w14:paraId="145A624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rPr>
      </w:pPr>
      <w:r>
        <w:rPr>
          <w:rFonts w:hint="eastAsia" w:ascii="仿宋_GB2312" w:hAnsi="仿宋_GB2312" w:eastAsia="仿宋_GB2312" w:cs="仿宋_GB2312"/>
          <w:color w:val="auto"/>
          <w:sz w:val="28"/>
          <w:szCs w:val="28"/>
          <w:highlight w:val="none"/>
          <w:lang w:val="en-US" w:eastAsia="zh-CN"/>
        </w:rPr>
        <w:t>（四）如合同因乙方违约导致解除的，乙方除应承担违约责任赔偿甲方损失外，已收的款项应退还甲方；甲方因乙方违约而产生的维权费用，包括但不局限于诉讼费、律师费、保全费、鉴定费、评估费、公证费、差旅费等费用，均由乙方承担</w:t>
      </w:r>
      <w:r>
        <w:rPr>
          <w:rFonts w:hint="eastAsia" w:ascii="仿宋_GB2312" w:hAnsi="仿宋" w:eastAsia="仿宋_GB2312"/>
          <w:bCs/>
          <w:sz w:val="28"/>
          <w:szCs w:val="28"/>
        </w:rPr>
        <w:t>。</w:t>
      </w:r>
    </w:p>
    <w:p w14:paraId="3DFF954A">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rPr>
        <w:t>十、合同争议解决的方式</w:t>
      </w:r>
    </w:p>
    <w:p w14:paraId="270A4F93">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6AC83CEE">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（一）提交西安仲裁委员会仲裁；</w:t>
      </w:r>
    </w:p>
    <w:p w14:paraId="37D78B4F">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1FB7919A">
      <w:pPr>
        <w:autoSpaceDE w:val="0"/>
        <w:autoSpaceDN w:val="0"/>
        <w:adjustRightInd w:val="0"/>
        <w:snapToGrid w:val="0"/>
        <w:spacing w:line="360" w:lineRule="auto"/>
        <w:ind w:firstLine="562" w:firstLineChars="200"/>
        <w:rPr>
          <w:rFonts w:hint="eastAsia" w:ascii="仿宋_GB2312" w:hAnsi="仿宋" w:eastAsia="仿宋_GB2312"/>
          <w:b/>
          <w:sz w:val="28"/>
          <w:szCs w:val="28"/>
        </w:rPr>
      </w:pPr>
      <w:r>
        <w:rPr>
          <w:rFonts w:hint="eastAsia" w:ascii="仿宋_GB2312" w:hAnsi="仿宋" w:eastAsia="仿宋_GB2312"/>
          <w:b/>
          <w:sz w:val="28"/>
          <w:szCs w:val="28"/>
          <w:lang w:val="en-US" w:eastAsia="zh-CN"/>
        </w:rPr>
        <w:t>十一、</w:t>
      </w:r>
      <w:r>
        <w:rPr>
          <w:rFonts w:hint="eastAsia" w:ascii="仿宋_GB2312" w:hAnsi="仿宋" w:eastAsia="仿宋_GB2312"/>
          <w:b/>
          <w:sz w:val="28"/>
          <w:szCs w:val="28"/>
        </w:rPr>
        <w:t>合同生效</w:t>
      </w:r>
    </w:p>
    <w:p w14:paraId="29F8576B">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2406A6B2">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5C8EC94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（三）本合同一式</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份，甲乙双方各执</w:t>
      </w:r>
      <w:r>
        <w:rPr>
          <w:rFonts w:hint="eastAsia" w:ascii="仿宋_GB2312" w:hAnsi="仿宋" w:eastAsia="仿宋_GB2312"/>
          <w:bCs/>
          <w:sz w:val="28"/>
          <w:szCs w:val="28"/>
          <w:u w:val="single"/>
        </w:rPr>
        <w:t xml:space="preserve">    </w:t>
      </w:r>
      <w:r>
        <w:rPr>
          <w:rFonts w:hint="eastAsia" w:ascii="仿宋_GB2312" w:hAnsi="仿宋" w:eastAsia="仿宋_GB2312"/>
          <w:bCs/>
          <w:sz w:val="28"/>
          <w:szCs w:val="28"/>
        </w:rPr>
        <w:t>份。</w:t>
      </w:r>
    </w:p>
    <w:p w14:paraId="47413187">
      <w:pPr>
        <w:keepNext w:val="0"/>
        <w:keepLines w:val="0"/>
        <w:pageBreakBefore w:val="0"/>
        <w:widowControl w:val="0"/>
        <w:kinsoku/>
        <w:wordWrap/>
        <w:overflowPunct/>
        <w:topLinePunct w:val="0"/>
        <w:autoSpaceDE w:val="0"/>
        <w:autoSpaceDN w:val="0"/>
        <w:bidi w:val="0"/>
        <w:adjustRightInd w:val="0"/>
        <w:snapToGrid w:val="0"/>
        <w:spacing w:after="0" w:afterLines="50"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_GB2312" w:eastAsia="仿宋_GB2312" w:cs="仿宋_GB2312"/>
          <w:sz w:val="28"/>
          <w:szCs w:val="28"/>
        </w:rPr>
        <w:t>（四）本合同如有未尽事宜，甲、乙双方协商解决</w:t>
      </w:r>
      <w:r>
        <w:rPr>
          <w:rFonts w:hint="eastAsia" w:ascii="仿宋_GB2312" w:hAnsi="仿宋" w:eastAsia="仿宋_GB2312"/>
          <w:bCs/>
          <w:sz w:val="28"/>
          <w:szCs w:val="28"/>
          <w:highlight w:val="none"/>
        </w:rPr>
        <w:t>。</w:t>
      </w:r>
    </w:p>
    <w:p w14:paraId="1D031BA7">
      <w:pPr>
        <w:pStyle w:val="8"/>
        <w:rPr>
          <w:rFonts w:hint="eastAsia" w:ascii="仿宋_GB2312" w:hAnsi="仿宋" w:eastAsia="仿宋_GB2312"/>
          <w:bCs/>
          <w:sz w:val="28"/>
          <w:szCs w:val="28"/>
          <w:highlight w:val="none"/>
        </w:rPr>
      </w:pPr>
    </w:p>
    <w:p w14:paraId="0D1AF8F1">
      <w:pPr>
        <w:pStyle w:val="8"/>
        <w:rPr>
          <w:rFonts w:hint="eastAsia" w:ascii="仿宋_GB2312" w:hAnsi="仿宋" w:eastAsia="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6572C8C8">
        <w:tblPrEx>
          <w:tblCellMar>
            <w:top w:w="0" w:type="dxa"/>
            <w:left w:w="108" w:type="dxa"/>
            <w:bottom w:w="0" w:type="dxa"/>
            <w:right w:w="108" w:type="dxa"/>
          </w:tblCellMar>
        </w:tblPrEx>
        <w:trPr>
          <w:trHeight w:val="567" w:hRule="exact"/>
          <w:jc w:val="center"/>
        </w:trPr>
        <w:tc>
          <w:tcPr>
            <w:tcW w:w="4201" w:type="dxa"/>
            <w:noWrap w:val="0"/>
            <w:vAlign w:val="center"/>
          </w:tcPr>
          <w:p w14:paraId="6E23166D">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甲  方</w:t>
            </w:r>
          </w:p>
        </w:tc>
        <w:tc>
          <w:tcPr>
            <w:tcW w:w="4202" w:type="dxa"/>
            <w:noWrap w:val="0"/>
            <w:vAlign w:val="center"/>
          </w:tcPr>
          <w:p w14:paraId="61FD565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  方</w:t>
            </w:r>
          </w:p>
        </w:tc>
      </w:tr>
      <w:tr w14:paraId="1BC0F0E0">
        <w:tblPrEx>
          <w:tblCellMar>
            <w:top w:w="0" w:type="dxa"/>
            <w:left w:w="108" w:type="dxa"/>
            <w:bottom w:w="0" w:type="dxa"/>
            <w:right w:w="108" w:type="dxa"/>
          </w:tblCellMar>
        </w:tblPrEx>
        <w:trPr>
          <w:trHeight w:val="567" w:hRule="exact"/>
          <w:jc w:val="center"/>
        </w:trPr>
        <w:tc>
          <w:tcPr>
            <w:tcW w:w="4201" w:type="dxa"/>
            <w:noWrap w:val="0"/>
            <w:vAlign w:val="center"/>
          </w:tcPr>
          <w:p w14:paraId="614BCD97">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c>
          <w:tcPr>
            <w:tcW w:w="4202" w:type="dxa"/>
            <w:noWrap w:val="0"/>
            <w:vAlign w:val="center"/>
          </w:tcPr>
          <w:p w14:paraId="51DA11AB">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（盖章）</w:t>
            </w:r>
          </w:p>
        </w:tc>
      </w:tr>
      <w:tr w14:paraId="77BEA7F7">
        <w:tblPrEx>
          <w:tblCellMar>
            <w:top w:w="0" w:type="dxa"/>
            <w:left w:w="108" w:type="dxa"/>
            <w:bottom w:w="0" w:type="dxa"/>
            <w:right w:w="108" w:type="dxa"/>
          </w:tblCellMar>
        </w:tblPrEx>
        <w:trPr>
          <w:trHeight w:val="567" w:hRule="exact"/>
          <w:jc w:val="center"/>
        </w:trPr>
        <w:tc>
          <w:tcPr>
            <w:tcW w:w="4201" w:type="dxa"/>
            <w:noWrap w:val="0"/>
            <w:vAlign w:val="center"/>
          </w:tcPr>
          <w:p w14:paraId="014ABF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地址： </w:t>
            </w:r>
          </w:p>
        </w:tc>
        <w:tc>
          <w:tcPr>
            <w:tcW w:w="4202" w:type="dxa"/>
            <w:noWrap w:val="0"/>
            <w:vAlign w:val="center"/>
          </w:tcPr>
          <w:p w14:paraId="06DA9C9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地址：</w:t>
            </w:r>
          </w:p>
        </w:tc>
      </w:tr>
      <w:tr w14:paraId="3C244535">
        <w:tblPrEx>
          <w:tblCellMar>
            <w:top w:w="0" w:type="dxa"/>
            <w:left w:w="108" w:type="dxa"/>
            <w:bottom w:w="0" w:type="dxa"/>
            <w:right w:w="108" w:type="dxa"/>
          </w:tblCellMar>
        </w:tblPrEx>
        <w:trPr>
          <w:trHeight w:val="567" w:hRule="exact"/>
          <w:jc w:val="center"/>
        </w:trPr>
        <w:tc>
          <w:tcPr>
            <w:tcW w:w="4201" w:type="dxa"/>
            <w:noWrap w:val="0"/>
            <w:vAlign w:val="center"/>
          </w:tcPr>
          <w:p w14:paraId="63C62D2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 xml:space="preserve">法定代表人 </w:t>
            </w:r>
          </w:p>
        </w:tc>
        <w:tc>
          <w:tcPr>
            <w:tcW w:w="4202" w:type="dxa"/>
            <w:noWrap w:val="0"/>
            <w:vAlign w:val="center"/>
          </w:tcPr>
          <w:p w14:paraId="221102A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法定代表人</w:t>
            </w:r>
          </w:p>
        </w:tc>
      </w:tr>
      <w:tr w14:paraId="13A363CA">
        <w:tblPrEx>
          <w:tblCellMar>
            <w:top w:w="0" w:type="dxa"/>
            <w:left w:w="108" w:type="dxa"/>
            <w:bottom w:w="0" w:type="dxa"/>
            <w:right w:w="108" w:type="dxa"/>
          </w:tblCellMar>
        </w:tblPrEx>
        <w:trPr>
          <w:trHeight w:val="567" w:hRule="exact"/>
          <w:jc w:val="center"/>
        </w:trPr>
        <w:tc>
          <w:tcPr>
            <w:tcW w:w="4201" w:type="dxa"/>
            <w:noWrap w:val="0"/>
            <w:vAlign w:val="center"/>
          </w:tcPr>
          <w:p w14:paraId="2DF62DF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c>
          <w:tcPr>
            <w:tcW w:w="4202" w:type="dxa"/>
            <w:noWrap w:val="0"/>
            <w:vAlign w:val="center"/>
          </w:tcPr>
          <w:p w14:paraId="2590E6C4">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或授权代表：</w:t>
            </w:r>
          </w:p>
        </w:tc>
      </w:tr>
      <w:tr w14:paraId="42756BBE">
        <w:tblPrEx>
          <w:tblCellMar>
            <w:top w:w="0" w:type="dxa"/>
            <w:left w:w="108" w:type="dxa"/>
            <w:bottom w:w="0" w:type="dxa"/>
            <w:right w:w="108" w:type="dxa"/>
          </w:tblCellMar>
        </w:tblPrEx>
        <w:trPr>
          <w:trHeight w:val="567" w:hRule="exact"/>
          <w:jc w:val="center"/>
        </w:trPr>
        <w:tc>
          <w:tcPr>
            <w:tcW w:w="4201" w:type="dxa"/>
            <w:noWrap w:val="0"/>
            <w:vAlign w:val="center"/>
          </w:tcPr>
          <w:p w14:paraId="433897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c>
          <w:tcPr>
            <w:tcW w:w="4202" w:type="dxa"/>
            <w:noWrap w:val="0"/>
            <w:vAlign w:val="center"/>
          </w:tcPr>
          <w:p w14:paraId="4A9DCD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电话：</w:t>
            </w:r>
          </w:p>
        </w:tc>
      </w:tr>
      <w:tr w14:paraId="24F51C18">
        <w:tblPrEx>
          <w:tblCellMar>
            <w:top w:w="0" w:type="dxa"/>
            <w:left w:w="108" w:type="dxa"/>
            <w:bottom w:w="0" w:type="dxa"/>
            <w:right w:w="108" w:type="dxa"/>
          </w:tblCellMar>
        </w:tblPrEx>
        <w:trPr>
          <w:trHeight w:val="567" w:hRule="exact"/>
          <w:jc w:val="center"/>
        </w:trPr>
        <w:tc>
          <w:tcPr>
            <w:tcW w:w="4201" w:type="dxa"/>
            <w:noWrap w:val="0"/>
            <w:vAlign w:val="center"/>
          </w:tcPr>
          <w:p w14:paraId="7E41BE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c>
          <w:tcPr>
            <w:tcW w:w="4202" w:type="dxa"/>
            <w:noWrap w:val="0"/>
            <w:vAlign w:val="center"/>
          </w:tcPr>
          <w:p w14:paraId="216072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传真：</w:t>
            </w:r>
          </w:p>
        </w:tc>
      </w:tr>
      <w:tr w14:paraId="601F56D4">
        <w:tblPrEx>
          <w:tblCellMar>
            <w:top w:w="0" w:type="dxa"/>
            <w:left w:w="108" w:type="dxa"/>
            <w:bottom w:w="0" w:type="dxa"/>
            <w:right w:w="108" w:type="dxa"/>
          </w:tblCellMar>
        </w:tblPrEx>
        <w:trPr>
          <w:trHeight w:val="567" w:hRule="exact"/>
          <w:jc w:val="center"/>
        </w:trPr>
        <w:tc>
          <w:tcPr>
            <w:tcW w:w="4201" w:type="dxa"/>
            <w:noWrap w:val="0"/>
            <w:vAlign w:val="center"/>
          </w:tcPr>
          <w:p w14:paraId="60EF91C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c>
          <w:tcPr>
            <w:tcW w:w="4202" w:type="dxa"/>
            <w:noWrap w:val="0"/>
            <w:vAlign w:val="center"/>
          </w:tcPr>
          <w:p w14:paraId="69C98E3F">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开户银行：</w:t>
            </w:r>
          </w:p>
        </w:tc>
      </w:tr>
    </w:tbl>
    <w:p w14:paraId="231E44F1"/>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95F4117-3D4D-454E-AECF-4BC8928B620F}"/>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6BB0979F-7312-4916-B399-85A776E9910D}"/>
  </w:font>
  <w:font w:name="仿宋_GB2312">
    <w:panose1 w:val="02010609030101010101"/>
    <w:charset w:val="86"/>
    <w:family w:val="modern"/>
    <w:pitch w:val="default"/>
    <w:sig w:usb0="00000001" w:usb1="080E0000" w:usb2="00000000" w:usb3="00000000" w:csb0="00040000" w:csb1="00000000"/>
    <w:embedRegular r:id="rId3" w:fontKey="{4BF4CCA3-40B5-4526-BEDC-458EEFE9F6F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9E42ECB"/>
    <w:rsid w:val="1CA80820"/>
    <w:rsid w:val="1D6E70FD"/>
    <w:rsid w:val="21665943"/>
    <w:rsid w:val="244871F4"/>
    <w:rsid w:val="24A548DA"/>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F63A8A"/>
    <w:rsid w:val="57DF2953"/>
    <w:rsid w:val="5C7E1FD1"/>
    <w:rsid w:val="5D3B49BA"/>
    <w:rsid w:val="60E414E6"/>
    <w:rsid w:val="61E5759F"/>
    <w:rsid w:val="64A137DB"/>
    <w:rsid w:val="696F3399"/>
    <w:rsid w:val="713F2180"/>
    <w:rsid w:val="734E36BE"/>
    <w:rsid w:val="741C09D0"/>
    <w:rsid w:val="74343D24"/>
    <w:rsid w:val="764F97C9"/>
    <w:rsid w:val="77950612"/>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Pages>
  <Words>1643</Words>
  <Characters>1676</Characters>
  <Lines>12</Lines>
  <Paragraphs>3</Paragraphs>
  <TotalTime>0</TotalTime>
  <ScaleCrop>false</ScaleCrop>
  <LinksUpToDate>false</LinksUpToDate>
  <CharactersWithSpaces>1748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2026-03-10T07:09:32Z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