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版本号：SXHC2026—01520260311001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鱼斗路派出所办公用房租赁服务项目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SXHC2026—015</w:t>
      </w:r>
      <w:r>
        <w:br/>
      </w:r>
      <w:r>
        <w:br/>
      </w:r>
      <w:r>
        <w:br/>
      </w:r>
    </w:p>
    <w:p>
      <w:pPr>
        <w:pStyle w:val="null3"/>
        <w:jc w:val="center"/>
        <w:outlineLvl w:val="5"/>
      </w:pPr>
      <w:r>
        <w:rPr>
          <w:rFonts w:ascii="仿宋_GB2312" w:hAnsi="仿宋_GB2312" w:cs="仿宋_GB2312" w:eastAsia="仿宋_GB2312"/>
          <w:sz w:val="15"/>
          <w:b/>
        </w:rPr>
        <w:t>西安市公安局高新技术产业开发区分局</w:t>
      </w:r>
    </w:p>
    <w:p>
      <w:pPr>
        <w:pStyle w:val="null3"/>
        <w:jc w:val="center"/>
        <w:outlineLvl w:val="5"/>
      </w:pPr>
      <w:r>
        <w:rPr>
          <w:rFonts w:ascii="仿宋_GB2312" w:hAnsi="仿宋_GB2312" w:cs="仿宋_GB2312" w:eastAsia="仿宋_GB2312"/>
          <w:sz w:val="15"/>
          <w:b/>
        </w:rPr>
        <w:t>陕西华采招标有限公司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鱼斗路派出所办公用房租赁服务项目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SXHC2026—015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鱼斗路派出所办公用房租赁服务项目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为做好鱼斗路派出所营房保障，确保办公用房租赁服务项目顺利开展，现计划租赁办公用房。</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采购包1（鱼斗路派出所办公用房租赁服务项目）：属于专门面向中小企业采购。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029-68255920-804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采购包1：3,096,000.00元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采购包1：3,096,000.00元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（3）代理服务费缴纳信息如下： 银行户名：陕西华采招标有限公司 开户行名称 ：招商银行陕西自贸试验区西安高新科技支行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为做好鱼斗路派出所营房保障，确保办公用房租赁服务项目顺利开展，现计划租赁办公用房。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3,096,000.00</w:t>
      </w:r>
    </w:p>
    <w:p>
      <w:pPr>
        <w:pStyle w:val="null3"/>
      </w:pPr>
      <w:r>
        <w:rPr>
          <w:rFonts w:ascii="仿宋_GB2312" w:hAnsi="仿宋_GB2312" w:cs="仿宋_GB2312" w:eastAsia="仿宋_GB2312"/>
        </w:rPr>
        <w:t>采购包最高限价（元）: 3,096,000.00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鱼斗路派出所办公用房租赁服务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3,096,000.00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标的名称：鱼斗路派出所办公用房租赁服务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rPr>
              <w:t>为做好鱼斗路派出所营房保障，确保办公用房租赁服务项目顺利开展，现计划租赁办公用房。</w:t>
            </w:r>
          </w:p>
          <w:p>
            <w:pPr>
              <w:pStyle w:val="null3"/>
              <w:ind w:firstLine="562"/>
            </w:pPr>
            <w:r>
              <w:rPr>
                <w:rFonts w:ascii="仿宋_GB2312" w:hAnsi="仿宋_GB2312" w:cs="仿宋_GB2312" w:eastAsia="仿宋_GB2312"/>
                <w:b/>
              </w:rPr>
              <w:t>二、租赁需求</w:t>
            </w:r>
          </w:p>
          <w:p>
            <w:pPr>
              <w:pStyle w:val="null3"/>
              <w:ind w:firstLine="560"/>
            </w:pPr>
            <w:r>
              <w:rPr>
                <w:rFonts w:ascii="仿宋_GB2312" w:hAnsi="仿宋_GB2312" w:cs="仿宋_GB2312" w:eastAsia="仿宋_GB2312"/>
              </w:rPr>
              <w:t>1、鱼斗路派出所拟租赁办公用房总建筑面积不低于4300平方米，不高于4500平方米;具有独立院落，有足量停车位.</w:t>
            </w:r>
          </w:p>
          <w:p>
            <w:pPr>
              <w:pStyle w:val="null3"/>
              <w:ind w:firstLine="560"/>
            </w:pPr>
            <w:r>
              <w:rPr>
                <w:rFonts w:ascii="仿宋_GB2312" w:hAnsi="仿宋_GB2312" w:cs="仿宋_GB2312" w:eastAsia="仿宋_GB2312"/>
              </w:rPr>
              <w:t>2、位置要求：科技路以南、科技五路以北、化龙二路以东、高新六路以西；交通位置便利，临近主干道路。</w:t>
            </w:r>
          </w:p>
          <w:p>
            <w:pPr>
              <w:pStyle w:val="null3"/>
              <w:ind w:firstLine="560"/>
            </w:pPr>
            <w:r>
              <w:rPr>
                <w:rFonts w:ascii="仿宋_GB2312" w:hAnsi="仿宋_GB2312" w:cs="仿宋_GB2312" w:eastAsia="仿宋_GB2312"/>
              </w:rPr>
              <w:t>3、环境要求：环境干净整洁，水、电、排水、通讯网络等基础设施配套齐全，无需二次装修。须具备完好的安全通道，保证水通、电通、气通、暖通。采光、通风良好，24小时不断电。布局、结构等适宜办公、业务用房使用，适宜直接入驻办公。</w:t>
            </w:r>
          </w:p>
          <w:p>
            <w:pPr>
              <w:pStyle w:val="null3"/>
              <w:ind w:firstLine="560"/>
            </w:pPr>
            <w:r>
              <w:rPr>
                <w:rFonts w:ascii="仿宋_GB2312" w:hAnsi="仿宋_GB2312" w:cs="仿宋_GB2312" w:eastAsia="仿宋_GB2312"/>
              </w:rPr>
              <w:t>4、建筑要求：需满足派出所办公、业务使用需求。具有消防安全设备，满足消防要求。</w:t>
            </w:r>
          </w:p>
          <w:p>
            <w:pPr>
              <w:pStyle w:val="null3"/>
              <w:ind w:firstLine="560"/>
            </w:pPr>
            <w:r>
              <w:rPr>
                <w:rFonts w:ascii="仿宋_GB2312" w:hAnsi="仿宋_GB2312" w:cs="仿宋_GB2312" w:eastAsia="仿宋_GB2312"/>
              </w:rPr>
              <w:t>5、装饰装修要求：基础设施配套齐全，无需二次装修。</w:t>
            </w:r>
          </w:p>
          <w:p>
            <w:pPr>
              <w:pStyle w:val="null3"/>
              <w:ind w:firstLine="560"/>
            </w:pPr>
            <w:r>
              <w:rPr>
                <w:rFonts w:ascii="仿宋_GB2312" w:hAnsi="仿宋_GB2312" w:cs="仿宋_GB2312" w:eastAsia="仿宋_GB2312"/>
              </w:rPr>
              <w:t>窗户：采光、密封良好，干净整洁、损坏。照明良好，满足办公使用的需求。墙面：涂料粉刷，白色。地面：干净整洁。走廊：其布置适宜办公使用，涂料刷白墙面，吊顶，通风良好。卫生间：具有卫生间；地面、墙面具备防水；照明良好。外立面：干净整洁。屋顶或顶层：防水良好。</w:t>
            </w:r>
          </w:p>
          <w:p>
            <w:pPr>
              <w:pStyle w:val="null3"/>
              <w:ind w:firstLine="560"/>
            </w:pPr>
            <w:r>
              <w:rPr>
                <w:rFonts w:ascii="仿宋_GB2312" w:hAnsi="仿宋_GB2312" w:cs="仿宋_GB2312" w:eastAsia="仿宋_GB2312"/>
              </w:rPr>
              <w:t>6、其它要求：</w:t>
            </w:r>
          </w:p>
          <w:p>
            <w:pPr>
              <w:pStyle w:val="null3"/>
              <w:ind w:firstLine="560"/>
            </w:pPr>
            <w:r>
              <w:rPr>
                <w:rFonts w:ascii="仿宋_GB2312" w:hAnsi="仿宋_GB2312" w:cs="仿宋_GB2312" w:eastAsia="仿宋_GB2312"/>
              </w:rPr>
              <w:t>（1）建筑自身及建设用地没有任何经济纠纷，供应商提供的房屋具有使用权的合法渠道证明（如自有的房产证或租赁合同》，并提供所出租房屋无任何经济纠纷的承诺，采购人有权对供应商提供的房屋信息进行核实，如有弄虚作假，一经发现，按无效投标处理，供应商承担相应法律责任。</w:t>
            </w:r>
          </w:p>
          <w:p>
            <w:pPr>
              <w:pStyle w:val="null3"/>
              <w:ind w:firstLine="560"/>
            </w:pPr>
            <w:r>
              <w:rPr>
                <w:rFonts w:ascii="仿宋_GB2312" w:hAnsi="仿宋_GB2312" w:cs="仿宋_GB2312" w:eastAsia="仿宋_GB2312"/>
              </w:rPr>
              <w:t>（2）成交供应商对房屋及其设备应定期检查，及时修缮。</w:t>
            </w:r>
          </w:p>
          <w:p>
            <w:pPr>
              <w:pStyle w:val="null3"/>
              <w:ind w:firstLine="560"/>
            </w:pPr>
            <w:r>
              <w:rPr>
                <w:rFonts w:ascii="仿宋_GB2312" w:hAnsi="仿宋_GB2312" w:cs="仿宋_GB2312" w:eastAsia="仿宋_GB2312"/>
              </w:rPr>
              <w:t>（3）采购人在租赁期限内正常使用房屋，如出现房屋质量问题，成交供应商及时进行修缮予以解决，并承担相应的责任。同时做好租赁期限内的应急管理工作。</w:t>
            </w:r>
          </w:p>
          <w:p>
            <w:pPr>
              <w:pStyle w:val="null3"/>
              <w:ind w:firstLine="560"/>
            </w:pPr>
            <w:r>
              <w:rPr>
                <w:rFonts w:ascii="仿宋_GB2312" w:hAnsi="仿宋_GB2312" w:cs="仿宋_GB2312" w:eastAsia="仿宋_GB2312"/>
              </w:rPr>
              <w:t>（4）有物业公司提供基础服务。</w:t>
            </w:r>
          </w:p>
          <w:p>
            <w:pPr>
              <w:pStyle w:val="null3"/>
              <w:ind w:firstLine="560"/>
            </w:pPr>
            <w:r>
              <w:rPr>
                <w:rFonts w:ascii="仿宋_GB2312" w:hAnsi="仿宋_GB2312" w:cs="仿宋_GB2312" w:eastAsia="仿宋_GB2312"/>
              </w:rPr>
              <w:t>7、投标报价包含完成本项目的所有费用（包含但不限于租赁费、税费、物业费、停车场车位使用权、供暖费、房屋破损及各种硬件设施维修费用等一切费用）。</w:t>
            </w:r>
          </w:p>
          <w:p>
            <w:pPr>
              <w:pStyle w:val="null3"/>
              <w:ind w:firstLine="562"/>
            </w:pPr>
            <w:r>
              <w:rPr>
                <w:rFonts w:ascii="仿宋_GB2312" w:hAnsi="仿宋_GB2312" w:cs="仿宋_GB2312" w:eastAsia="仿宋_GB2312"/>
                <w:b/>
              </w:rPr>
              <w:t>三、商务要求</w:t>
            </w:r>
          </w:p>
          <w:p>
            <w:pPr>
              <w:pStyle w:val="null3"/>
              <w:ind w:firstLine="560"/>
            </w:pPr>
            <w:r>
              <w:rPr>
                <w:rFonts w:ascii="仿宋_GB2312" w:hAnsi="仿宋_GB2312" w:cs="仿宋_GB2312" w:eastAsia="仿宋_GB2312"/>
              </w:rPr>
              <w:t>1、服务期限：三年。本项目一次招标沿用三年，合同一年一签(所提供的服务质量经采购人考核后，在采购内容不变、采购预算有保障、服务价格不变或降低的情况下,则双方可续签下年合同，若在合同实施过程中出现预算调整、需求变更或成交供应商服务无法达到采购人要求等情况，合同终止，由采购人重新组织采购）。</w:t>
            </w:r>
          </w:p>
          <w:p>
            <w:pPr>
              <w:pStyle w:val="null3"/>
              <w:ind w:firstLine="560"/>
            </w:pPr>
            <w:r>
              <w:rPr>
                <w:rFonts w:ascii="仿宋_GB2312" w:hAnsi="仿宋_GB2312" w:cs="仿宋_GB2312" w:eastAsia="仿宋_GB2312"/>
              </w:rPr>
              <w:t xml:space="preserve">  </w:t>
            </w:r>
            <w:r>
              <w:rPr>
                <w:rFonts w:ascii="仿宋_GB2312" w:hAnsi="仿宋_GB2312" w:cs="仿宋_GB2312" w:eastAsia="仿宋_GB2312"/>
                <w:color w:val="000000"/>
              </w:rPr>
              <w:t>2、年租金不</w:t>
            </w:r>
            <w:r>
              <w:rPr>
                <w:rFonts w:ascii="仿宋_GB2312" w:hAnsi="仿宋_GB2312" w:cs="仿宋_GB2312" w:eastAsia="仿宋_GB2312"/>
                <w:color w:val="000000"/>
              </w:rPr>
              <w:t>高于</w:t>
            </w:r>
            <w:r>
              <w:rPr>
                <w:rFonts w:ascii="仿宋_GB2312" w:hAnsi="仿宋_GB2312" w:cs="仿宋_GB2312" w:eastAsia="仿宋_GB2312"/>
              </w:rPr>
              <w:t>3096000.00</w:t>
            </w:r>
            <w:r>
              <w:rPr>
                <w:rFonts w:ascii="仿宋_GB2312" w:hAnsi="仿宋_GB2312" w:cs="仿宋_GB2312" w:eastAsia="仿宋_GB2312"/>
                <w:color w:val="000000"/>
              </w:rPr>
              <w:t>.00元</w:t>
            </w:r>
            <w:r>
              <w:rPr>
                <w:rFonts w:ascii="仿宋_GB2312" w:hAnsi="仿宋_GB2312" w:cs="仿宋_GB2312" w:eastAsia="仿宋_GB2312"/>
                <w:color w:val="000000"/>
              </w:rPr>
              <w:t>/年</w:t>
            </w:r>
            <w:r>
              <w:rPr>
                <w:rFonts w:ascii="仿宋_GB2312" w:hAnsi="仿宋_GB2312" w:cs="仿宋_GB2312" w:eastAsia="仿宋_GB2312"/>
                <w:color w:val="000000"/>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本项目一次招标沿用三年，合同一年一签(所提供的服务质量经采购人考核后，在采购内容不变、采购预算有保障、服务价格不变或降低的情况下,则双方可续签下年合同，若在合同实施过程中出现预算调整、需求变更或成交供应商服务无法达到采购人要求等情况，合同终止，由采购人重新组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西安市范围内，按照采购人要求。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在每年度租赁期限届满前3个月内支付当年度租金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7章“拟签订采购合同文本”中体现的内容为准。3、成交供应商在领取中标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单一来源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（2）报价货币符合单一来源文件要求； （3）未超出采购预算或单一来源采购文件规定的最高限价。</w:t>
            </w:r>
          </w:p>
        </w:tc>
        <w:tc>
          <w:tcPr>
            <w:tcW w:type="dxa" w:w="1661"/>
          </w:tcPr>
          <w:p>
            <w:pPr>
              <w:pStyle w:val="null3"/>
            </w:pPr>
            <w:r>
              <w:rPr>
                <w:rFonts w:ascii="仿宋_GB2312" w:hAnsi="仿宋_GB2312" w:cs="仿宋_GB2312" w:eastAsia="仿宋_GB2312"/>
              </w:rPr>
              <w:t>首次谈判报价表.docx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与所投项目名称、项目编号一致，且符合单一来源采购文件签署盖章要求。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供应商投标报价明显低于其他通过符合性审查供应商的投标报价，有可能影响产品质量或者不能诚信履约的，评标委员会应当要求其在合理的时间内在项目电子化交易系统中上传说明材料，必要时提交相关证明材料。供应商提交的相关证明材料，应当加盖供应商（法定名称）电子印章，在评标委员会要求的时间内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响应单一来源采购文件合同条款未出现负偏离且响应的内容中未附有采购人不能接受的附加条件。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服务方案响应说明</w:t>
            </w:r>
          </w:p>
        </w:tc>
        <w:tc>
          <w:tcPr>
            <w:tcW w:type="dxa" w:w="3322"/>
          </w:tcPr>
          <w:p>
            <w:pPr>
              <w:pStyle w:val="null3"/>
            </w:pPr>
            <w:r>
              <w:rPr>
                <w:rFonts w:ascii="仿宋_GB2312" w:hAnsi="仿宋_GB2312" w:cs="仿宋_GB2312" w:eastAsia="仿宋_GB2312"/>
              </w:rPr>
              <w:t>响应服务条款响应偏离表</w:t>
            </w:r>
          </w:p>
        </w:tc>
        <w:tc>
          <w:tcPr>
            <w:tcW w:type="dxa" w:w="1661"/>
          </w:tcPr>
          <w:p>
            <w:pPr>
              <w:pStyle w:val="null3"/>
            </w:pPr>
            <w:r>
              <w:rPr>
                <w:rFonts w:ascii="仿宋_GB2312" w:hAnsi="仿宋_GB2312" w:cs="仿宋_GB2312" w:eastAsia="仿宋_GB2312"/>
              </w:rPr>
              <w:t>服务方案响应说明.docx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详见附件：首次谈判报价表.docx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