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F9AF9">
      <w:pPr>
        <w:spacing w:line="500" w:lineRule="atLeast"/>
        <w:rPr>
          <w:rFonts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1BAC71E5">
      <w:pPr>
        <w:rPr>
          <w:color w:val="auto"/>
          <w:highlight w:val="none"/>
          <w:lang w:eastAsia="zh-CN"/>
        </w:rPr>
      </w:pPr>
    </w:p>
    <w:p w14:paraId="54610366">
      <w:pPr>
        <w:rPr>
          <w:rFonts w:ascii="仿宋" w:hAnsi="仿宋" w:eastAsia="仿宋" w:cs="仿宋"/>
          <w:color w:val="auto"/>
          <w:highlight w:val="none"/>
          <w:lang w:eastAsia="zh-CN"/>
        </w:rPr>
      </w:pPr>
    </w:p>
    <w:p w14:paraId="61804B05">
      <w:pPr>
        <w:jc w:val="center"/>
        <w:rPr>
          <w:rFonts w:ascii="仿宋" w:hAnsi="仿宋" w:eastAsia="仿宋" w:cs="仿宋"/>
          <w:b/>
          <w:color w:val="auto"/>
          <w:sz w:val="36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48"/>
          <w:szCs w:val="72"/>
          <w:highlight w:val="none"/>
          <w:lang w:val="en-US" w:eastAsia="zh-CN"/>
        </w:rPr>
        <w:t>2026年劳动仲裁、监察、前台人员劳务外包服务项目</w:t>
      </w:r>
    </w:p>
    <w:p w14:paraId="59D6DC77">
      <w:pPr>
        <w:jc w:val="center"/>
        <w:rPr>
          <w:rFonts w:ascii="仿宋" w:hAnsi="仿宋" w:eastAsia="仿宋" w:cs="仿宋"/>
          <w:b/>
          <w:color w:val="auto"/>
          <w:sz w:val="56"/>
          <w:szCs w:val="56"/>
          <w:highlight w:val="none"/>
          <w:lang w:eastAsia="zh-CN"/>
        </w:rPr>
      </w:pPr>
    </w:p>
    <w:p w14:paraId="6C2FF8B8">
      <w:pPr>
        <w:jc w:val="center"/>
        <w:rPr>
          <w:rFonts w:ascii="仿宋" w:hAnsi="仿宋" w:eastAsia="仿宋" w:cs="仿宋"/>
          <w:b/>
          <w:color w:val="auto"/>
          <w:sz w:val="56"/>
          <w:szCs w:val="56"/>
          <w:highlight w:val="none"/>
          <w:lang w:eastAsia="zh-CN"/>
        </w:rPr>
      </w:pPr>
    </w:p>
    <w:p w14:paraId="49C6C61C">
      <w:pPr>
        <w:jc w:val="center"/>
        <w:rPr>
          <w:rFonts w:ascii="仿宋" w:hAnsi="仿宋" w:eastAsia="仿宋" w:cs="仿宋"/>
          <w:b/>
          <w:color w:val="auto"/>
          <w:sz w:val="56"/>
          <w:szCs w:val="56"/>
          <w:highlight w:val="none"/>
          <w:lang w:eastAsia="zh-CN"/>
        </w:rPr>
      </w:pPr>
    </w:p>
    <w:p w14:paraId="3E35DFA4">
      <w:pPr>
        <w:jc w:val="center"/>
        <w:rPr>
          <w:rFonts w:ascii="仿宋" w:hAnsi="仿宋" w:eastAsia="仿宋" w:cs="仿宋"/>
          <w:b/>
          <w:color w:val="auto"/>
          <w:sz w:val="56"/>
          <w:szCs w:val="5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  <w:lang w:eastAsia="zh-CN"/>
        </w:rPr>
        <w:t>合 同 主 要 条 款</w:t>
      </w:r>
    </w:p>
    <w:p w14:paraId="19993147">
      <w:pPr>
        <w:pStyle w:val="3"/>
        <w:rPr>
          <w:color w:val="auto"/>
          <w:highlight w:val="none"/>
        </w:rPr>
      </w:pPr>
    </w:p>
    <w:p w14:paraId="64E2B5A3">
      <w:pPr>
        <w:pStyle w:val="2"/>
        <w:rPr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（本格式条款供双方签订合同参考，采购人可根据项目的实际情况增加条款和内容）</w:t>
      </w:r>
    </w:p>
    <w:p w14:paraId="2522E7C0">
      <w:pPr>
        <w:jc w:val="center"/>
        <w:rPr>
          <w:rFonts w:ascii="仿宋" w:hAnsi="仿宋" w:eastAsia="仿宋" w:cs="仿宋"/>
          <w:b/>
          <w:color w:val="auto"/>
          <w:sz w:val="48"/>
          <w:szCs w:val="48"/>
          <w:highlight w:val="none"/>
          <w:lang w:eastAsia="zh-CN"/>
        </w:rPr>
      </w:pPr>
    </w:p>
    <w:p w14:paraId="2CB34F2F">
      <w:pPr>
        <w:jc w:val="center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合同编号：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XXXX</w:t>
      </w:r>
    </w:p>
    <w:p w14:paraId="4B5684C2">
      <w:pPr>
        <w:rPr>
          <w:rFonts w:ascii="仿宋" w:hAnsi="仿宋" w:eastAsia="仿宋" w:cs="仿宋"/>
          <w:b/>
          <w:color w:val="auto"/>
          <w:highlight w:val="none"/>
          <w:lang w:eastAsia="zh-CN"/>
        </w:rPr>
      </w:pPr>
    </w:p>
    <w:p w14:paraId="5B326A86">
      <w:pPr>
        <w:rPr>
          <w:rFonts w:ascii="仿宋" w:hAnsi="仿宋" w:eastAsia="仿宋" w:cs="仿宋"/>
          <w:b/>
          <w:color w:val="auto"/>
          <w:highlight w:val="none"/>
          <w:lang w:eastAsia="zh-CN"/>
        </w:rPr>
      </w:pPr>
    </w:p>
    <w:p w14:paraId="375DC231">
      <w:pPr>
        <w:rPr>
          <w:rFonts w:ascii="仿宋" w:hAnsi="仿宋" w:eastAsia="仿宋" w:cs="仿宋"/>
          <w:b/>
          <w:color w:val="auto"/>
          <w:highlight w:val="none"/>
          <w:lang w:eastAsia="zh-CN"/>
        </w:rPr>
      </w:pPr>
    </w:p>
    <w:p w14:paraId="3CAD17AF">
      <w:pPr>
        <w:rPr>
          <w:rFonts w:ascii="仿宋" w:hAnsi="仿宋" w:eastAsia="仿宋" w:cs="仿宋"/>
          <w:b/>
          <w:color w:val="auto"/>
          <w:highlight w:val="none"/>
          <w:lang w:eastAsia="zh-CN"/>
        </w:rPr>
      </w:pPr>
    </w:p>
    <w:p w14:paraId="2A2ECF27">
      <w:pPr>
        <w:rPr>
          <w:color w:val="auto"/>
          <w:highlight w:val="none"/>
          <w:lang w:eastAsia="zh-CN"/>
        </w:rPr>
      </w:pPr>
    </w:p>
    <w:p w14:paraId="7EFB98D1">
      <w:pPr>
        <w:pStyle w:val="3"/>
        <w:rPr>
          <w:rFonts w:ascii="Times New Roman" w:hAnsi="Times New Roman"/>
          <w:color w:val="auto"/>
          <w:highlight w:val="none"/>
        </w:rPr>
      </w:pPr>
    </w:p>
    <w:p w14:paraId="0FB9CEF7">
      <w:pPr>
        <w:pStyle w:val="3"/>
        <w:jc w:val="both"/>
        <w:rPr>
          <w:rFonts w:ascii="Times New Roman" w:hAnsi="Times New Roman"/>
          <w:color w:val="auto"/>
          <w:highlight w:val="none"/>
        </w:rPr>
      </w:pPr>
    </w:p>
    <w:p w14:paraId="0DEA1753">
      <w:pPr>
        <w:rPr>
          <w:color w:val="auto"/>
          <w:highlight w:val="none"/>
          <w:lang w:eastAsia="zh-CN"/>
        </w:rPr>
      </w:pPr>
    </w:p>
    <w:p w14:paraId="2BAF4F6B">
      <w:pPr>
        <w:pStyle w:val="3"/>
        <w:rPr>
          <w:color w:val="auto"/>
          <w:highlight w:val="none"/>
        </w:rPr>
      </w:pPr>
    </w:p>
    <w:p w14:paraId="6286218B">
      <w:pPr>
        <w:rPr>
          <w:color w:val="auto"/>
          <w:highlight w:val="none"/>
          <w:lang w:eastAsia="zh-CN"/>
        </w:rPr>
      </w:pPr>
    </w:p>
    <w:p w14:paraId="64BA4D28">
      <w:pPr>
        <w:pStyle w:val="3"/>
        <w:rPr>
          <w:color w:val="auto"/>
          <w:highlight w:val="none"/>
        </w:rPr>
      </w:pPr>
    </w:p>
    <w:p w14:paraId="096CF1C2">
      <w:pPr>
        <w:spacing w:line="360" w:lineRule="auto"/>
        <w:ind w:left="1377" w:hanging="1469" w:hangingChars="400"/>
        <w:jc w:val="center"/>
        <w:rPr>
          <w:rFonts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  <w:t>甲方(采购人)：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  <w:lang w:eastAsia="zh-CN"/>
        </w:rPr>
        <w:t></w:t>
      </w:r>
    </w:p>
    <w:p w14:paraId="315A5787">
      <w:pPr>
        <w:spacing w:line="360" w:lineRule="auto"/>
        <w:ind w:left="840" w:hanging="840" w:hangingChars="400"/>
        <w:jc w:val="center"/>
        <w:rPr>
          <w:rFonts w:ascii="仿宋" w:hAnsi="仿宋" w:eastAsia="仿宋" w:cs="仿宋"/>
          <w:color w:val="auto"/>
          <w:spacing w:val="23"/>
          <w:sz w:val="28"/>
          <w:szCs w:val="28"/>
          <w:highlight w:val="none"/>
          <w:u w:val="single"/>
          <w:lang w:eastAsia="zh-CN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  <w:lang w:eastAsia="zh-CN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  <w:t>乙方</w:t>
      </w:r>
      <w:r>
        <w:rPr>
          <w:rFonts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  <w:fldChar w:fldCharType="end"/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  <w:t>(供应商)：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  <w:lang w:eastAsia="zh-CN"/>
        </w:rPr>
        <w:t></w:t>
      </w:r>
    </w:p>
    <w:p w14:paraId="5552F301">
      <w:pPr>
        <w:spacing w:line="500" w:lineRule="atLeast"/>
        <w:jc w:val="center"/>
        <w:rPr>
          <w:rFonts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  <w:t>签订时间：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  <w:lang w:eastAsia="zh-CN"/>
        </w:rPr>
        <w:t>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  <w:lang w:eastAsia="zh-CN"/>
        </w:rPr>
        <w:t>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pacing w:val="23"/>
          <w:sz w:val="28"/>
          <w:szCs w:val="28"/>
          <w:highlight w:val="none"/>
          <w:u w:val="single"/>
          <w:lang w:eastAsia="zh-CN"/>
        </w:rPr>
        <w:t>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highlight w:val="none"/>
          <w:lang w:eastAsia="zh-CN"/>
        </w:rPr>
        <w:t>日</w:t>
      </w:r>
    </w:p>
    <w:p w14:paraId="6C15207D">
      <w:pPr>
        <w:spacing w:line="360" w:lineRule="auto"/>
        <w:rPr>
          <w:rFonts w:ascii="仿宋" w:hAnsi="仿宋" w:eastAsia="仿宋" w:cs="仿宋"/>
          <w:bCs/>
          <w:color w:val="auto"/>
          <w:sz w:val="28"/>
          <w:szCs w:val="28"/>
          <w:highlight w:val="none"/>
          <w:lang w:eastAsia="zh-CN" w:bidi="ar"/>
        </w:rPr>
      </w:pPr>
    </w:p>
    <w:p w14:paraId="4E7A177F">
      <w:pPr>
        <w:spacing w:line="600" w:lineRule="exact"/>
        <w:ind w:firstLine="723" w:firstLineChars="200"/>
        <w:jc w:val="center"/>
        <w:rPr>
          <w:rFonts w:hint="eastAsia" w:ascii="仿宋" w:hAnsi="仿宋" w:eastAsia="仿宋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6"/>
          <w:szCs w:val="36"/>
          <w:highlight w:val="none"/>
          <w:lang w:eastAsia="zh-CN"/>
        </w:rPr>
        <w:t>合同主要条款</w:t>
      </w:r>
    </w:p>
    <w:p w14:paraId="3DD9590B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甲方：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</w:t>
      </w:r>
    </w:p>
    <w:p w14:paraId="6BFE91EA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fldChar w:fldCharType="begin"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fldChar w:fldCharType="separate"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乙方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fldChar w:fldCharType="end"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       </w:t>
      </w:r>
    </w:p>
    <w:p w14:paraId="55AF9B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textAlignment w:val="baseline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  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>项目名称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(采购项目编号: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)，由西安辰和工程咨询有限公司组织竞争性磋商，中共西安高新技术产业开发区工作委员会组织人事部(以下简称“甲方”)确定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(以下简称“乙方”)为中标人。</w:t>
      </w:r>
    </w:p>
    <w:p w14:paraId="128A6539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依据《中华人民共和国民法典》和《中华人民共和国政府采购法》之规定，经双方在平等、自愿、互利的基础上，签订本合同，共同信守。</w:t>
      </w:r>
    </w:p>
    <w:p w14:paraId="4747CF97">
      <w:pPr>
        <w:spacing w:line="600" w:lineRule="exact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一、合同价款</w:t>
      </w:r>
    </w:p>
    <w:p w14:paraId="4BFC9DB6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(一)合同总价款为人民币(¥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元)大写:人民币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1D392C4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(二)合同总价包括完成本项目所需的所有费用，</w:t>
      </w:r>
      <w:r>
        <w:rPr>
          <w:rFonts w:hint="eastAsia" w:ascii="仿宋" w:hAnsi="仿宋" w:eastAsia="仿宋" w:cs="宋体"/>
          <w:color w:val="auto"/>
          <w:sz w:val="28"/>
          <w:szCs w:val="28"/>
          <w:highlight w:val="none"/>
          <w:lang w:val="en-US" w:eastAsia="zh-CN"/>
        </w:rPr>
        <w:t>包括但不限于基本工资、绩效工资、岗位工资、社会保险费、培训费、其它福利津贴、管理费、招标代理服务费、税金等所需的全部费用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，服务期内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不再增加任何费用。</w:t>
      </w:r>
    </w:p>
    <w:p w14:paraId="4EFBB37F">
      <w:pPr>
        <w:spacing w:line="600" w:lineRule="exact"/>
        <w:ind w:firstLine="562" w:firstLineChars="200"/>
        <w:rPr>
          <w:rFonts w:hint="default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二、款项结算</w:t>
      </w:r>
    </w:p>
    <w:p w14:paraId="66B66FF5">
      <w:pPr>
        <w:spacing w:line="600" w:lineRule="exact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合同款的支付：</w:t>
      </w:r>
    </w:p>
    <w:p w14:paraId="0DCD76DA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合同签订后15个工作日内，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启动付款手续，向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支付合同总价的50%;合同执行四个月后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启动第二笔付款手续，向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支付合同总价的25%;合同执行八个月后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启动第三笔付款手续,向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支付合同总价的22%;合同到期，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应于10个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工作日内向乙方一次性支付剩余款项，即合同总价的3%。</w:t>
      </w:r>
    </w:p>
    <w:p w14:paraId="74F0A1F8">
      <w:pPr>
        <w:spacing w:line="600" w:lineRule="exact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乙方于每个付款周期前15天将开具的增值税发票送达甲方，甲方在收到发票后，按照以上时间，按期付款。</w:t>
      </w:r>
    </w:p>
    <w:p w14:paraId="5A7E1BC0">
      <w:pPr>
        <w:numPr>
          <w:ilvl w:val="0"/>
          <w:numId w:val="1"/>
        </w:num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开户信息（乙方）</w:t>
      </w:r>
    </w:p>
    <w:p w14:paraId="3A0C65E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textAlignment w:val="baseline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单位名称：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</w:p>
    <w:p w14:paraId="5C1B272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textAlignment w:val="baseline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纳税人识别号：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</w:t>
      </w:r>
    </w:p>
    <w:p w14:paraId="40D6FC4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textAlignment w:val="baseline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开  户  行：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</w:p>
    <w:p w14:paraId="7FC145B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textAlignment w:val="baseline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账      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eastAsia="zh-CN"/>
        </w:rPr>
        <w:t xml:space="preserve">     </w:t>
      </w:r>
    </w:p>
    <w:p w14:paraId="5B05495D">
      <w:pPr>
        <w:spacing w:line="600" w:lineRule="exact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结算方式：银行转账，乙方在接受付款前开具发票给甲方。</w:t>
      </w:r>
    </w:p>
    <w:p w14:paraId="4F090CE1">
      <w:pPr>
        <w:spacing w:line="600" w:lineRule="exact"/>
        <w:ind w:firstLine="562" w:firstLineChars="200"/>
        <w:rPr>
          <w:rFonts w:hint="default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三、服务要求</w:t>
      </w:r>
    </w:p>
    <w:p w14:paraId="5DE604AD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服务地点：按照甲方要求</w:t>
      </w:r>
    </w:p>
    <w:p w14:paraId="42C1337E">
      <w:pPr>
        <w:spacing w:line="600" w:lineRule="exact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（二）服务期限：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合同签订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后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1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年。</w:t>
      </w:r>
    </w:p>
    <w:p w14:paraId="400D8D75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（三）服务内容</w:t>
      </w:r>
    </w:p>
    <w:p w14:paraId="1D1F0464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进行人员选聘工作，保证本项目岗位外包人员不少于25人，岗位需求及人员分配以甲方的实际要求为主，甲方在招聘阶段参与人员选聘活动，确定具体人员名单。</w:t>
      </w:r>
    </w:p>
    <w:p w14:paraId="309AE70F">
      <w:pPr>
        <w:spacing w:line="600" w:lineRule="exact"/>
        <w:ind w:firstLine="562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四、甲方权利、义务</w:t>
      </w:r>
    </w:p>
    <w:p w14:paraId="2F195B1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甲方对外包人员的聘用有选择权、决定权，并具有工作安排管理指挥权。</w:t>
      </w:r>
    </w:p>
    <w:p w14:paraId="057BC773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、甲方应为乙方外包人员</w:t>
      </w:r>
      <w:bookmarkStart w:id="25" w:name="_GoBack"/>
      <w:bookmarkEnd w:id="25"/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提供与岗位相关的办公场地、设施设备等工作保障。</w:t>
      </w:r>
    </w:p>
    <w:p w14:paraId="59BE832C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、甲方应向乙方外包人员提供岗位工作职责说明书,并对其工作职责履行情况进行考核。</w:t>
      </w:r>
    </w:p>
    <w:p w14:paraId="63A0084B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、乙方外包人员违反甲方岗位要求及工作纪律，受到群众投诉、媒体曝光并造成不良影响的,甲方可提请乙方无条件更换外包人员,乙方应在8小时内作出响应,在不影响工作的前提下,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快速补充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人员到位；如经甲方研究认定造成严重影响的，除要求乙方无条件更换外包人员外，乙方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还应承担给甲方造成的赔偿损失。</w:t>
      </w:r>
    </w:p>
    <w:p w14:paraId="6843402B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、乙方在服务期间出现重大失误的,甲方有权终止协议,并向乙方追索因失误造成的相关损失。</w:t>
      </w:r>
    </w:p>
    <w:p w14:paraId="2C17350D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、甲方若因特殊情况需要减少外包岗位,须提前30日以书面形式通知乙方,并依法支付补偿金。</w:t>
      </w:r>
    </w:p>
    <w:p w14:paraId="5B1FC217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7、甲方有权要求乙方服务人员遵守甲方的规章制度，并对甲方相关信息资料进行保密。</w:t>
      </w:r>
    </w:p>
    <w:p w14:paraId="4F1D1741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、甲方应按合同约定及时向乙方支付服务费用。</w:t>
      </w:r>
    </w:p>
    <w:p w14:paraId="631EF3D5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、乙方连续三次以上对督办整改问题不予执行或执行不力，且警告无效者，甲方有权终止本合同。</w:t>
      </w:r>
    </w:p>
    <w:p w14:paraId="6AE585C7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、甲方有权对乙方服务人员的工资、福利、保险、工具的发放和配备进行监督和检查。</w:t>
      </w:r>
    </w:p>
    <w:p w14:paraId="1C653784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、甲方根据实际情况可以分派乙方临时任务，乙方应按照甲方的要求保质保量完成工作。</w:t>
      </w:r>
    </w:p>
    <w:p w14:paraId="553E0082">
      <w:pPr>
        <w:spacing w:line="600" w:lineRule="exact"/>
        <w:ind w:firstLine="562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五、乙方权利、义务</w:t>
      </w:r>
    </w:p>
    <w:p w14:paraId="0443DDF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bookmarkStart w:id="0" w:name="_Toc10478"/>
      <w:bookmarkStart w:id="1" w:name="_Toc13550"/>
      <w:bookmarkStart w:id="2" w:name="_Toc22589"/>
      <w:bookmarkStart w:id="3" w:name="_Toc13124"/>
      <w:bookmarkStart w:id="4" w:name="_Toc19813"/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1、根据本合同约定,乙方应按甲方需求岗位安排外包人员,并保持外包人员的相对稳定；外包人员应按照甲方要求的工作时间、工作内容、工作规范开展工作。</w:t>
      </w:r>
    </w:p>
    <w:p w14:paraId="03DB3DB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2、乙方根据国家《劳动合同法》等规定,与向甲方提供外包服务的外包人员建立劳动关系,按时支付劳动报酬及社会保险,同时为外包人员办理用工登记手续。</w:t>
      </w:r>
    </w:p>
    <w:p w14:paraId="16FCAC05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3、乙方根据甲方委托事项及要求进行外包人员招聘、岗位培训、服务标准、目标管理、廉政教育、安全生产教育，同时做好外包人员心理辅导、团队建设、档案管理等工作。</w:t>
      </w:r>
    </w:p>
    <w:p w14:paraId="67A5FB41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4、乙方应根据甲方的要求,建立并完善内部考核管理制度。</w:t>
      </w:r>
    </w:p>
    <w:p w14:paraId="519FA34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5、乙方定期对外包岗位服务工作进行情况分析,向甲方提出意见和建议,不断改进完善服务工作。</w:t>
      </w:r>
    </w:p>
    <w:p w14:paraId="7E3DAF86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6、乙方外包人员若被发现有任何影响甲方正常岗位工作的行为,乙方管理人员应及时处置解决。</w:t>
      </w:r>
    </w:p>
    <w:p w14:paraId="7CE6C1CE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7、在服务期间,乙方及其外包人员需保证所使用设施设备的完好、完整,若由于操作或使用不当造成设备损坏或丢失,须原价赔偿。</w:t>
      </w:r>
    </w:p>
    <w:p w14:paraId="5EB25FA8">
      <w:pPr>
        <w:spacing w:line="600" w:lineRule="exact"/>
        <w:ind w:firstLine="560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8、乙方应向甲方提供服务人员花名册和网格化管理图，遇有人员变化时应及时变更信息，并向甲方提供备案。</w:t>
      </w:r>
    </w:p>
    <w:p w14:paraId="65C27275">
      <w:pPr>
        <w:spacing w:line="600" w:lineRule="exact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第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条、服务职责</w:t>
      </w:r>
      <w:bookmarkEnd w:id="0"/>
      <w:bookmarkEnd w:id="1"/>
      <w:bookmarkEnd w:id="2"/>
      <w:bookmarkEnd w:id="3"/>
      <w:bookmarkEnd w:id="4"/>
    </w:p>
    <w:p w14:paraId="6D3ED080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提供服务的公司及服务人员必须严格遵守相关规定，建立健全岗位责任制度和管理制度、各种紧急(突发)事件应对处置预案等服务管理制度体系,并加强对服务人员的管理。</w:t>
      </w:r>
    </w:p>
    <w:p w14:paraId="62B202FE">
      <w:pPr>
        <w:spacing w:line="600" w:lineRule="exact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bookmarkStart w:id="5" w:name="_Toc25155"/>
      <w:bookmarkStart w:id="6" w:name="_Toc10985"/>
      <w:bookmarkStart w:id="7" w:name="_Toc4737"/>
      <w:bookmarkStart w:id="8" w:name="_Toc7094"/>
      <w:bookmarkStart w:id="9" w:name="_Toc31626"/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第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条、验收</w:t>
      </w:r>
      <w:bookmarkEnd w:id="5"/>
      <w:bookmarkEnd w:id="6"/>
      <w:bookmarkEnd w:id="7"/>
      <w:bookmarkEnd w:id="8"/>
      <w:bookmarkEnd w:id="9"/>
    </w:p>
    <w:p w14:paraId="1C8983D1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1、由甲方组织或委托相关部门服务期间进行现场巡检、验收。</w:t>
      </w:r>
    </w:p>
    <w:p w14:paraId="4E04B901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2、验收依据：合同文本、磋商文件和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的磋商响应文件。</w:t>
      </w:r>
    </w:p>
    <w:p w14:paraId="102A4C84">
      <w:pPr>
        <w:spacing w:line="600" w:lineRule="exact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10" w:name="_Toc16181"/>
      <w:bookmarkStart w:id="11" w:name="_Toc10008"/>
      <w:bookmarkStart w:id="12" w:name="_Toc4712"/>
      <w:bookmarkStart w:id="13" w:name="_Toc4053"/>
      <w:bookmarkStart w:id="14" w:name="_Toc26189"/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第八条、甲方的权利和义务</w:t>
      </w:r>
      <w:bookmarkEnd w:id="10"/>
      <w:bookmarkEnd w:id="11"/>
      <w:bookmarkEnd w:id="12"/>
      <w:bookmarkEnd w:id="13"/>
      <w:bookmarkEnd w:id="14"/>
    </w:p>
    <w:p w14:paraId="5CDD371C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甲方对外包人员的聘用有选择权、决定权，并具有工作安排管理指挥权。</w:t>
      </w:r>
    </w:p>
    <w:p w14:paraId="27084D6C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、甲方应为乙方外包人员提供与岗位相关的办公场地、设施设备等工作保障。</w:t>
      </w:r>
    </w:p>
    <w:p w14:paraId="31BB3F5D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、甲方应向乙方外包人员提供岗位工作职责说明书,并对其工作职责履行情况进行考核。</w:t>
      </w:r>
    </w:p>
    <w:p w14:paraId="39D85C04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、乙方外包人员违反甲方岗位要求及工作纪律，受到群众投诉、媒体曝光并造成不良影响的,甲方可提请乙方无条件更换外包人员,乙方应在8小时内作出响应,在不影响工作的前提下,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快速补充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人员到位；如经甲方研究认定造成严重影响的，除要求乙方无条件更换外包人员外，乙方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还应承担给甲方造成的赔偿损失。</w:t>
      </w:r>
    </w:p>
    <w:p w14:paraId="416455C5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、乙方在服务期间出现重大失误的,甲方有权终止协议,并向乙方追索因失误造成的相关损失。</w:t>
      </w:r>
    </w:p>
    <w:p w14:paraId="240B6B5C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、甲方若因特殊情况需要减少外包岗位,须提前30日以书面形式通知乙方,并依法支付补偿金。</w:t>
      </w:r>
    </w:p>
    <w:p w14:paraId="21A139C2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7、甲方有权要求乙方服务人员遵守甲方的规章制度，并对甲方相关信息资料进行保密。</w:t>
      </w:r>
    </w:p>
    <w:p w14:paraId="64B50B17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、甲方应按合同约定及时向乙方支付服务费用。</w:t>
      </w:r>
    </w:p>
    <w:p w14:paraId="2C2C9FE6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、乙方连续三次以上对督办整改问题不予执行或执行不力，且警告无效者，甲方有权终止本合同。</w:t>
      </w:r>
    </w:p>
    <w:p w14:paraId="4394340A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、甲方有权对乙方服务人员的工资、福利、保险、工具的发放和配备进行监督和检查。</w:t>
      </w:r>
    </w:p>
    <w:p w14:paraId="22261F91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、甲方根据实际情况可以分派乙方临时任务，乙方应按照甲方的要求保质保量完成工作。</w:t>
      </w:r>
    </w:p>
    <w:p w14:paraId="306C2B48">
      <w:pPr>
        <w:spacing w:line="600" w:lineRule="exact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bookmarkStart w:id="15" w:name="_Toc20722"/>
      <w:bookmarkStart w:id="16" w:name="_Toc16319"/>
      <w:bookmarkStart w:id="17" w:name="_Toc25792"/>
      <w:bookmarkStart w:id="18" w:name="_Toc30873"/>
      <w:bookmarkStart w:id="19" w:name="_Toc23169"/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第九条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、乙方的权利和义务</w:t>
      </w:r>
      <w:bookmarkEnd w:id="15"/>
      <w:bookmarkEnd w:id="16"/>
      <w:bookmarkEnd w:id="17"/>
      <w:bookmarkEnd w:id="18"/>
      <w:bookmarkEnd w:id="19"/>
    </w:p>
    <w:p w14:paraId="188101AC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1、根据本合同约定,乙方应按甲方需求岗位安排外包人员,并保持外包人员的相对稳定；外包人员应按照甲方要求的工作时间、工作内容、工作规范开展工作。</w:t>
      </w:r>
    </w:p>
    <w:p w14:paraId="373FD35D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2、乙方根据国家《劳动合同法》等规定,与向甲方提供外包服务的外包人员建立劳动关系,按时支付劳动报酬及社会保险,同时为外包人员办理用工登记手续。</w:t>
      </w:r>
    </w:p>
    <w:p w14:paraId="12F01777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3、乙方根据甲方委托事项及要求进行外包人员招聘、岗位培训、服务标准、目标管理、廉政教育、安全生产教育，同时做好外包人员心理辅导、团队建设、档案管理等工作。</w:t>
      </w:r>
    </w:p>
    <w:p w14:paraId="6DD4CD49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4、乙方应根据甲方的要求,建立并完善内部考核管理制度。</w:t>
      </w:r>
    </w:p>
    <w:p w14:paraId="73DE3E17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5、乙方定期对外包岗位服务工作进行情况分析,向甲方提出意见和建议,不断改进完善服务工作。</w:t>
      </w:r>
    </w:p>
    <w:p w14:paraId="75D30FBC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6、乙方负责协助甲方处理外包人员的劳动争议事宜,并承担劳动稽查部门对外包人员社会保障的各项稽核责任。</w:t>
      </w:r>
    </w:p>
    <w:p w14:paraId="0211A1F2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7、乙方外包人员若被发现有任何影响甲方正常岗位工作的行为,乙方管理人员应及时处置解决。</w:t>
      </w:r>
    </w:p>
    <w:p w14:paraId="31109510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8、在服务期间,乙方及其外包人员需保证所使用设施设备的完好、完整,若由于操作或使用不当造成设备损坏或丢失,须原价赔偿。</w:t>
      </w:r>
    </w:p>
    <w:p w14:paraId="56640E5F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9、乙方应向甲方提供服务人员花名册和网格化管理图，遇有人员变化时应及时变更信息，并向甲方提供备案。</w:t>
      </w:r>
    </w:p>
    <w:p w14:paraId="7F9120C7">
      <w:pPr>
        <w:spacing w:line="600" w:lineRule="exact"/>
        <w:ind w:firstLine="562" w:firstLineChars="200"/>
        <w:rPr>
          <w:rFonts w:hint="default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20" w:name="_Toc6203"/>
      <w:bookmarkStart w:id="21" w:name="_Toc15709"/>
      <w:bookmarkStart w:id="22" w:name="_Toc11269"/>
      <w:bookmarkStart w:id="23" w:name="_Toc8216"/>
      <w:bookmarkStart w:id="24" w:name="_Toc21849"/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六、其他事项</w:t>
      </w:r>
    </w:p>
    <w:p w14:paraId="66A3C28E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(一)乙方不得将项目转让、分包给其它单位或个人。</w:t>
      </w:r>
    </w:p>
    <w:p w14:paraId="66F90CF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(二)甲方通过定期对乙方服务业绩进行量化考评，根据实际情况给出定量的、定性的业绩考评成绩，督促乙方进行调整和改进，若甲方认为乙方服务未能满足要求，则向乙方发出书面整改通知，并要求乙方在接收到整改通知后5个工作日内进行整改。</w:t>
      </w:r>
    </w:p>
    <w:p w14:paraId="4AC7050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(三)乙方负责人员日常考勤工作，项目员工请假等手续需向甲方申请，审批通过后走乙方休假流程。乙方按照月度考勤结果结合公司规章制度核发待遇。病、事、产假等扣款严格遵守国家相关法律法规，结合公司规章制度核发待遇。甲乙双方配合做好月度、年度考核工作，根据甲乙双方综合评定对项目员工奖优罚劣给予待遇发放。乙方因相关工作人员对工作造成不当影响的在当月考核中一并体现。</w:t>
      </w:r>
    </w:p>
    <w:p w14:paraId="2B584F20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(四)在支付合同最后一期款项时，乙方向甲方提供《项目验收报告》，甲方根据报告和日常考核结果考评并对服务质量进行验收，期间如有扣除款项时，在最后一次付款项中予以扣除。剩余款项由甲方一次性支付给乙方。</w:t>
      </w:r>
    </w:p>
    <w:p w14:paraId="41A886B9">
      <w:pPr>
        <w:spacing w:line="600" w:lineRule="exact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七、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违约责任</w:t>
      </w:r>
      <w:bookmarkEnd w:id="20"/>
      <w:bookmarkEnd w:id="21"/>
      <w:bookmarkEnd w:id="22"/>
      <w:bookmarkEnd w:id="23"/>
      <w:bookmarkEnd w:id="24"/>
    </w:p>
    <w:p w14:paraId="7570296A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(一)按《中华人民共和国民法典》中的相关条款执行。</w:t>
      </w:r>
    </w:p>
    <w:p w14:paraId="33A3D437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(二)未按合同要求提供服务或服务质量不能满足采购需求，乙方必须无条件加以改进，完善服务质量，否则，甲方有权终止合同并对乙方违约行为进行追究。</w:t>
      </w:r>
    </w:p>
    <w:p w14:paraId="7BCFCEF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(三)任何一方因不可抗力原因不能履行合同时，应自不可抗力事件发生2日内书面通知对方，双方均设法补偿。</w:t>
      </w:r>
    </w:p>
    <w:p w14:paraId="072863F7">
      <w:pPr>
        <w:spacing w:line="600" w:lineRule="exact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val="en-US" w:eastAsia="zh-CN"/>
        </w:rPr>
        <w:t>八、合同争议解决的方式</w:t>
      </w:r>
    </w:p>
    <w:p w14:paraId="76DEBA2D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本合同在履行过程中发生的争议，由甲、乙双方当事人协商解决，协商不成的选择以下两种方式中的一种方式解决:</w:t>
      </w:r>
    </w:p>
    <w:p w14:paraId="7967BC51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(一)提交西安市仲裁委员会仲裁。</w:t>
      </w:r>
    </w:p>
    <w:p w14:paraId="776B2543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(二)依法向甲方所在地人民法院起诉。</w:t>
      </w:r>
    </w:p>
    <w:p w14:paraId="1754A824">
      <w:pPr>
        <w:spacing w:line="600" w:lineRule="exact"/>
        <w:ind w:firstLine="562" w:firstLineChars="200"/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highlight w:val="none"/>
          <w:lang w:eastAsia="zh-CN"/>
        </w:rPr>
        <w:t>九、合同生效</w:t>
      </w:r>
    </w:p>
    <w:p w14:paraId="77A48A6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(一)本合同须经甲、乙双方的法定代表人(或负责人)在合同书上签字并加盖本单位公章后正式生效。</w:t>
      </w:r>
    </w:p>
    <w:p w14:paraId="6F56F2FD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(二)合同生效后，甲、乙双方须严格履行本合同条款的规定，全面履行合同，违者按《中华人民共和国民法典》的有关规定承担相应责任。</w:t>
      </w:r>
    </w:p>
    <w:p w14:paraId="3CC6B7E3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(三)本合同一式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捌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份，甲方执肆份、乙方执贰份，采购代理机构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贰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份。</w:t>
      </w:r>
    </w:p>
    <w:p w14:paraId="6B4413B2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(四)如有未尽事宜，甲、乙双方协商解决。</w:t>
      </w:r>
    </w:p>
    <w:p w14:paraId="232D10A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）本合同自签订之日起生效。</w:t>
      </w:r>
    </w:p>
    <w:p w14:paraId="431A2B21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280A7008">
      <w:pPr>
        <w:spacing w:line="600" w:lineRule="exact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以下为合同签署页，无正文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）</w:t>
      </w:r>
    </w:p>
    <w:p w14:paraId="565FD803">
      <w:pPr>
        <w:spacing w:line="540" w:lineRule="exact"/>
        <w:ind w:firstLine="280" w:firstLineChars="1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采购人(甲方)：        （公章）  供应商(乙方)：          （公章）</w:t>
      </w:r>
    </w:p>
    <w:p w14:paraId="46084ED6">
      <w:pPr>
        <w:spacing w:line="540" w:lineRule="exact"/>
        <w:ind w:firstLine="210" w:firstLineChars="1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             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            </w:t>
      </w:r>
    </w:p>
    <w:p w14:paraId="45110DC1">
      <w:pPr>
        <w:spacing w:line="540" w:lineRule="exact"/>
        <w:ind w:firstLine="280" w:firstLineChars="1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或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  <w:lang w:eastAsia="zh-CN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：    （签字或盖章）或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  <w:lang w:eastAsia="zh-CN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：    （签字或盖章）</w:t>
      </w:r>
    </w:p>
    <w:p w14:paraId="497F1158">
      <w:pPr>
        <w:spacing w:line="540" w:lineRule="exact"/>
        <w:ind w:firstLine="210" w:firstLineChars="1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  <w:lang w:eastAsia="zh-CN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开户银行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：                  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  <w:lang w:eastAsia="zh-CN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color w:val="auto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开户银行</w:t>
      </w:r>
      <w:r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：               </w:t>
      </w:r>
    </w:p>
    <w:p w14:paraId="69A7DD18">
      <w:pPr>
        <w:spacing w:line="540" w:lineRule="exact"/>
        <w:ind w:firstLine="280" w:firstLineChars="1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账    号：                    账    号：               </w:t>
      </w:r>
    </w:p>
    <w:p w14:paraId="4CB45162">
      <w:pPr>
        <w:spacing w:line="540" w:lineRule="exact"/>
        <w:ind w:firstLine="280" w:firstLineChars="1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电    话：                    电    话：               </w:t>
      </w:r>
    </w:p>
    <w:p w14:paraId="1D5F8C81">
      <w:pPr>
        <w:spacing w:line="540" w:lineRule="exact"/>
        <w:ind w:firstLine="280" w:firstLineChars="1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地    址：                    地    址：               </w:t>
      </w:r>
    </w:p>
    <w:p w14:paraId="0A0F172A">
      <w:pPr>
        <w:spacing w:line="540" w:lineRule="exact"/>
        <w:ind w:firstLine="280" w:firstLineChars="1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时    间：  年月日        时    间： 年月日</w:t>
      </w:r>
    </w:p>
    <w:p w14:paraId="37C232A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E1A38A"/>
    <w:multiLevelType w:val="singleLevel"/>
    <w:tmpl w:val="9AE1A3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D75BF"/>
    <w:rsid w:val="59FD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4"/>
    <w:next w:val="4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4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2026-03-11T03:57:00Z</dcterms:created>
  <dc:creator>唰唰</dc:creator>
  <cp:lastModifiedBy>唰唰</cp:lastModifiedBy>
  <dcterms:modified xsi:type="dcterms:W3CDTF">2026-03-11T03:58:54Z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F9C640B1571445D3B795C2B418E6681E_11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