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版本号：LZBC2026-226（XDZ2026-23-N-13）20260317001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西安软件园发展中心办公场地租赁服务项目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LZBC2026-226（XDZ2026-23-N-13）</w:t>
      </w:r>
      <w:r>
        <w:br/>
      </w:r>
      <w:r>
        <w:br/>
      </w:r>
      <w:r>
        <w:br/>
      </w:r>
    </w:p>
    <w:p>
      <w:pPr>
        <w:pStyle w:val="null3"/>
        <w:jc w:val="center"/>
        <w:outlineLvl w:val="2"/>
      </w:pPr>
      <w:r>
        <w:rPr>
          <w:rFonts w:ascii="仿宋_GB2312" w:hAnsi="仿宋_GB2312" w:cs="仿宋_GB2312" w:eastAsia="仿宋_GB2312"/>
          <w:sz w:val="28"/>
          <w:b/>
        </w:rPr>
        <w:t>西安高新技术产业开发区软件园发展中心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西安高新技术产业开发区软件园发展中心</w:t>
      </w:r>
      <w:r>
        <w:rPr>
          <w:rFonts w:ascii="仿宋_GB2312" w:hAnsi="仿宋_GB2312" w:cs="仿宋_GB2312" w:eastAsia="仿宋_GB2312"/>
        </w:rPr>
        <w:t>委托，拟对</w:t>
      </w:r>
      <w:r>
        <w:rPr>
          <w:rFonts w:ascii="仿宋_GB2312" w:hAnsi="仿宋_GB2312" w:cs="仿宋_GB2312" w:eastAsia="仿宋_GB2312"/>
        </w:rPr>
        <w:t>西安软件园发展中心办公场地租赁服务项目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LZBC2026-226（XDZ2026-23-N-13）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西安软件园发展中心办公场地租赁服务项目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为满足西安软件园发展中心日常办公需求，方便辖区群众、企业办事，现需在西安高新区软件新城片区，靠近软件新城云汇谷园区，对西安软件园发展中心办公场地租赁服务进行采购。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采购包1（办公场地租赁）：属于专门面向中小企业采购。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应是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应提供税收缴纳凭证及社会保险缴纳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或提供《基本资格条件承诺函》。</w:t>
      </w:r>
    </w:p>
    <w:p>
      <w:pPr>
        <w:pStyle w:val="null3"/>
      </w:pPr>
      <w:r>
        <w:rPr>
          <w:rFonts w:ascii="仿宋_GB2312" w:hAnsi="仿宋_GB2312" w:cs="仿宋_GB2312" w:eastAsia="仿宋_GB2312"/>
        </w:rPr>
        <w:t>3、财务状况报告：供应商2024年或2025年经审计的财务报告（事业法人可提供部门决算报告）或基本开户银行出具的资信证明或专业担保机构出具的投标担保函，供应商需在项目电子化交易系统中按要求上传相应证明文件并进行电子签章或提供《基本资格条件承诺函》。</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供应商应提供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或提供《基本资格条件承诺函》。</w:t>
      </w:r>
    </w:p>
    <w:p>
      <w:pPr>
        <w:pStyle w:val="null3"/>
      </w:pPr>
      <w:r>
        <w:rPr>
          <w:rFonts w:ascii="仿宋_GB2312" w:hAnsi="仿宋_GB2312" w:cs="仿宋_GB2312" w:eastAsia="仿宋_GB2312"/>
        </w:rPr>
        <w:t>5、履行合同所必需的设备和专业技术能力书面声明函：供应商应提供履行合同所必需的设备和专业技术能力书面声明函，供应商需在项目电子化交易系统中按要求上传相应证明文件并进行电子签章或提供《基本资格条件承诺函》。</w:t>
      </w:r>
    </w:p>
    <w:p>
      <w:pPr>
        <w:pStyle w:val="null3"/>
      </w:pPr>
      <w:r>
        <w:rPr>
          <w:rFonts w:ascii="仿宋_GB2312" w:hAnsi="仿宋_GB2312" w:cs="仿宋_GB2312" w:eastAsia="仿宋_GB2312"/>
        </w:rPr>
        <w:t>6、本采购包专门面向中小企业采购（残疾人福利性单位、监狱企业视同小型、微型企业）：参与的供应商服务全部由符合政策要求的中小企业承接（残疾人福利性单位、监狱企业视同小型、微型企业），供应商需在项目电子化交易系统中按要求上传相应证明文件并进行电子签章。</w:t>
      </w:r>
    </w:p>
    <w:p>
      <w:pPr>
        <w:pStyle w:val="null3"/>
      </w:pPr>
      <w:r>
        <w:rPr>
          <w:rFonts w:ascii="仿宋_GB2312" w:hAnsi="仿宋_GB2312" w:cs="仿宋_GB2312" w:eastAsia="仿宋_GB2312"/>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西安高新技术产业开发区软件园发展中心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西安高新区软件新城天谷八路156号云汇谷B3楼7层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029-87669966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代理服务费收费标准：参照国家计委关于印发《招标代理服务收费管理暂行办法》的通知（计价格〔2002〕1980号）《国家发展改革委办公厅关于招标代理服务收费有关问题的通知》（发改办价格〔2003〕857号 ）《国家发展改革委关于降低部分建设项目收费标准规范收费行为等有关问题的通知》（发改价格〔2011〕534号）《国家发展改革委关于放开部分建设项目服务收费标准有关问题的通知》（发改价格〔2014〕1573号）《国家发展改革委关于进一步放开建设项目专业服务价格的通知》（发改价格〔2015〕299号）中服务类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西安高新技术产业开发区软件园发展中心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西安高新技术产业开发区软件园发展中心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西安高新技术产业开发区软件园发展中心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地址：西安市太白南路181号西部电子社区A座A区501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为满足西安软件园发展中心日常办公需求，方便辖区群众、企业办事，现需在西安高新区软件新城片区，靠近软件新城云汇谷园区，对西安软件园发展中心办公场地租赁服务进行采购。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520,200.00</w:t>
      </w:r>
    </w:p>
    <w:p>
      <w:pPr>
        <w:pStyle w:val="null3"/>
      </w:pPr>
      <w:r>
        <w:rPr>
          <w:rFonts w:ascii="仿宋_GB2312" w:hAnsi="仿宋_GB2312" w:cs="仿宋_GB2312" w:eastAsia="仿宋_GB2312"/>
        </w:rPr>
        <w:t>采购包最高限价（元）: 520,200.00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西安软件园发展中心办公场地租赁服务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标的名称：西安软件园发展中心办公场地租赁服务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、房屋基本要求</w:t>
            </w:r>
          </w:p>
          <w:p>
            <w:pPr>
              <w:pStyle w:val="null3"/>
            </w:pPr>
            <w:r>
              <w:rPr>
                <w:rFonts w:ascii="仿宋_GB2312" w:hAnsi="仿宋_GB2312" w:cs="仿宋_GB2312" w:eastAsia="仿宋_GB2312"/>
              </w:rPr>
              <w:t>（一）</w:t>
            </w:r>
            <w:r>
              <w:rPr>
                <w:rFonts w:ascii="仿宋_GB2312" w:hAnsi="仿宋_GB2312" w:cs="仿宋_GB2312" w:eastAsia="仿宋_GB2312"/>
              </w:rPr>
              <w:t>坐落位置：西安市高新区软件新城片区，靠近软件新城云汇谷园区。</w:t>
            </w:r>
          </w:p>
          <w:p>
            <w:pPr>
              <w:pStyle w:val="null3"/>
            </w:pPr>
            <w:r>
              <w:rPr>
                <w:rFonts w:ascii="仿宋_GB2312" w:hAnsi="仿宋_GB2312" w:cs="仿宋_GB2312" w:eastAsia="仿宋_GB2312"/>
              </w:rPr>
              <w:t>（二）</w:t>
            </w:r>
            <w:r>
              <w:rPr>
                <w:rFonts w:ascii="仿宋_GB2312" w:hAnsi="仿宋_GB2312" w:cs="仿宋_GB2312" w:eastAsia="仿宋_GB2312"/>
              </w:rPr>
              <w:t>建筑面积：约</w:t>
            </w:r>
            <w:r>
              <w:rPr>
                <w:rFonts w:ascii="仿宋_GB2312" w:hAnsi="仿宋_GB2312" w:cs="仿宋_GB2312" w:eastAsia="仿宋_GB2312"/>
              </w:rPr>
              <w:t>867 平方米，主体空间开阔，可划分独立办公室、会议室、接待区、公共办公区等功能区域。</w:t>
            </w:r>
          </w:p>
          <w:p>
            <w:pPr>
              <w:pStyle w:val="null3"/>
            </w:pPr>
            <w:r>
              <w:rPr>
                <w:rFonts w:ascii="仿宋_GB2312" w:hAnsi="仿宋_GB2312" w:cs="仿宋_GB2312" w:eastAsia="仿宋_GB2312"/>
              </w:rPr>
              <w:t>（三）</w:t>
            </w:r>
            <w:r>
              <w:rPr>
                <w:rFonts w:ascii="仿宋_GB2312" w:hAnsi="仿宋_GB2312" w:cs="仿宋_GB2312" w:eastAsia="仿宋_GB2312"/>
              </w:rPr>
              <w:t>权属要求：提供不动产权证或其他相关证明资料；</w:t>
            </w:r>
          </w:p>
          <w:p>
            <w:pPr>
              <w:pStyle w:val="null3"/>
            </w:pPr>
            <w:r>
              <w:rPr>
                <w:rFonts w:ascii="仿宋_GB2312" w:hAnsi="仿宋_GB2312" w:cs="仿宋_GB2312" w:eastAsia="仿宋_GB2312"/>
              </w:rPr>
              <w:t>（四）</w:t>
            </w:r>
            <w:r>
              <w:rPr>
                <w:rFonts w:ascii="仿宋_GB2312" w:hAnsi="仿宋_GB2312" w:cs="仿宋_GB2312" w:eastAsia="仿宋_GB2312"/>
              </w:rPr>
              <w:t>交付标准：达到拎包入住条件。</w:t>
            </w:r>
          </w:p>
          <w:p>
            <w:pPr>
              <w:pStyle w:val="null3"/>
            </w:pPr>
            <w:r>
              <w:rPr>
                <w:rFonts w:ascii="仿宋_GB2312" w:hAnsi="仿宋_GB2312" w:cs="仿宋_GB2312" w:eastAsia="仿宋_GB2312"/>
              </w:rPr>
              <w:t>二</w:t>
            </w:r>
            <w:r>
              <w:rPr>
                <w:rFonts w:ascii="仿宋_GB2312" w:hAnsi="仿宋_GB2312" w:cs="仿宋_GB2312" w:eastAsia="仿宋_GB2312"/>
              </w:rPr>
              <w:t>、办公专属配套与设施</w:t>
            </w:r>
          </w:p>
          <w:p>
            <w:pPr>
              <w:pStyle w:val="null3"/>
            </w:pPr>
            <w:r>
              <w:rPr>
                <w:rFonts w:ascii="仿宋_GB2312" w:hAnsi="仿宋_GB2312" w:cs="仿宋_GB2312" w:eastAsia="仿宋_GB2312"/>
              </w:rPr>
              <w:t>（一）</w:t>
            </w:r>
            <w:r>
              <w:rPr>
                <w:rFonts w:ascii="仿宋_GB2312" w:hAnsi="仿宋_GB2312" w:cs="仿宋_GB2312" w:eastAsia="仿宋_GB2312"/>
              </w:rPr>
              <w:t>基础配套：</w:t>
            </w:r>
          </w:p>
          <w:p>
            <w:pPr>
              <w:pStyle w:val="null3"/>
            </w:pPr>
            <w:r>
              <w:rPr>
                <w:rFonts w:ascii="仿宋_GB2312" w:hAnsi="仿宋_GB2312" w:cs="仿宋_GB2312" w:eastAsia="仿宋_GB2312"/>
              </w:rPr>
              <w:t>1.</w:t>
            </w:r>
            <w:r>
              <w:rPr>
                <w:rFonts w:ascii="仿宋_GB2312" w:hAnsi="仿宋_GB2312" w:cs="仿宋_GB2312" w:eastAsia="仿宋_GB2312"/>
              </w:rPr>
              <w:t>供水：市政自来水，水压稳定，可满足办公饮用、清洁需求；</w:t>
            </w:r>
          </w:p>
          <w:p>
            <w:pPr>
              <w:pStyle w:val="null3"/>
            </w:pPr>
            <w:r>
              <w:rPr>
                <w:rFonts w:ascii="仿宋_GB2312" w:hAnsi="仿宋_GB2312" w:cs="仿宋_GB2312" w:eastAsia="仿宋_GB2312"/>
              </w:rPr>
              <w:t>2.</w:t>
            </w:r>
            <w:r>
              <w:rPr>
                <w:rFonts w:ascii="仿宋_GB2312" w:hAnsi="仿宋_GB2312" w:cs="仿宋_GB2312" w:eastAsia="仿宋_GB2312"/>
              </w:rPr>
              <w:t>供电：总供电容量</w:t>
            </w:r>
            <w:r>
              <w:rPr>
                <w:rFonts w:ascii="仿宋_GB2312" w:hAnsi="仿宋_GB2312" w:cs="仿宋_GB2312" w:eastAsia="仿宋_GB2312"/>
              </w:rPr>
              <w:t>≥30kW，预留充足插座；</w:t>
            </w:r>
          </w:p>
          <w:p>
            <w:pPr>
              <w:pStyle w:val="null3"/>
            </w:pPr>
            <w:r>
              <w:rPr>
                <w:rFonts w:ascii="仿宋_GB2312" w:hAnsi="仿宋_GB2312" w:cs="仿宋_GB2312" w:eastAsia="仿宋_GB2312"/>
              </w:rPr>
              <w:t>3.</w:t>
            </w:r>
            <w:r>
              <w:rPr>
                <w:rFonts w:ascii="仿宋_GB2312" w:hAnsi="仿宋_GB2312" w:cs="仿宋_GB2312" w:eastAsia="仿宋_GB2312"/>
              </w:rPr>
              <w:t>空调：配备中央空调或分区独立空调，制冷</w:t>
            </w:r>
            <w:r>
              <w:rPr>
                <w:rFonts w:ascii="仿宋_GB2312" w:hAnsi="仿宋_GB2312" w:cs="仿宋_GB2312" w:eastAsia="仿宋_GB2312"/>
              </w:rPr>
              <w:t>/ 制热效果达标，运行噪音≤55dB；</w:t>
            </w:r>
          </w:p>
          <w:p>
            <w:pPr>
              <w:pStyle w:val="null3"/>
            </w:pPr>
            <w:r>
              <w:rPr>
                <w:rFonts w:ascii="仿宋_GB2312" w:hAnsi="仿宋_GB2312" w:cs="仿宋_GB2312" w:eastAsia="仿宋_GB2312"/>
              </w:rPr>
              <w:t>4.</w:t>
            </w:r>
            <w:r>
              <w:rPr>
                <w:rFonts w:ascii="仿宋_GB2312" w:hAnsi="仿宋_GB2312" w:cs="仿宋_GB2312" w:eastAsia="仿宋_GB2312"/>
              </w:rPr>
              <w:t>消防：通过消防验收或备案，配备灭火器、应急照明、疏散指示标志、消防栓等设施，且在有效期内；消防通道无遮挡。</w:t>
            </w:r>
          </w:p>
          <w:p>
            <w:pPr>
              <w:pStyle w:val="null3"/>
            </w:pPr>
            <w:r>
              <w:rPr>
                <w:rFonts w:ascii="仿宋_GB2312" w:hAnsi="仿宋_GB2312" w:cs="仿宋_GB2312" w:eastAsia="仿宋_GB2312"/>
              </w:rPr>
              <w:t>（二）</w:t>
            </w:r>
            <w:r>
              <w:rPr>
                <w:rFonts w:ascii="仿宋_GB2312" w:hAnsi="仿宋_GB2312" w:cs="仿宋_GB2312" w:eastAsia="仿宋_GB2312"/>
              </w:rPr>
              <w:t>办公专项设施：</w:t>
            </w:r>
          </w:p>
          <w:p>
            <w:pPr>
              <w:pStyle w:val="null3"/>
            </w:pPr>
            <w:r>
              <w:rPr>
                <w:rFonts w:ascii="仿宋_GB2312" w:hAnsi="仿宋_GB2312" w:cs="仿宋_GB2312" w:eastAsia="仿宋_GB2312"/>
              </w:rPr>
              <w:t>1.</w:t>
            </w:r>
            <w:r>
              <w:rPr>
                <w:rFonts w:ascii="仿宋_GB2312" w:hAnsi="仿宋_GB2312" w:cs="仿宋_GB2312" w:eastAsia="仿宋_GB2312"/>
              </w:rPr>
              <w:t>网络：支持千兆光纤接入，预留正常办公所需的接口数量，可满足采购</w:t>
            </w:r>
            <w:r>
              <w:rPr>
                <w:rFonts w:ascii="仿宋_GB2312" w:hAnsi="仿宋_GB2312" w:cs="仿宋_GB2312" w:eastAsia="仿宋_GB2312"/>
              </w:rPr>
              <w:t>人办公的网络承载需求；</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物业配套：所在楼宇有专业物业公司管理，公共区域需提供</w:t>
            </w:r>
            <w:r>
              <w:rPr>
                <w:rFonts w:ascii="仿宋_GB2312" w:hAnsi="仿宋_GB2312" w:cs="仿宋_GB2312" w:eastAsia="仿宋_GB2312"/>
                <w:sz w:val="21"/>
              </w:rPr>
              <w:t xml:space="preserve"> 24 小时安保、日常保洁等服务，物业费标准明确。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因系统设置原因无法准确表述支付方式，实际支付方式如下：按照合同约定，达到付款条件起</w:t>
            </w:r>
            <w:r>
              <w:rPr>
                <w:rFonts w:ascii="仿宋_GB2312" w:hAnsi="仿宋_GB2312" w:cs="仿宋_GB2312" w:eastAsia="仿宋_GB2312"/>
                <w:sz w:val="21"/>
              </w:rPr>
              <w:t>30个工作日，支付合同金额的100%。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1.维修服务 （1）日常维修：房屋主体结构及附属的水电管线、空调、门窗等设施出现故障，出租方接到通知后 4 小时内响应，24 小时内完成维修（特殊情况需出具书面说明并明确修复时限）； （2）应急维修：水电中断、消防设施故障等紧急情况，出租方需 1 小时内到场处置。 2.费用承担 （1）租金包含公共区域水电费、电梯使用费； （2）出租方承担房屋主体结构、公共设施及约定范围内的维修费用。 3.安全管理 （1）配合采购人协助做好防火、防盗、防泄密等工作 （2）定期（每季度）对房屋安全、消防设施进行检查，出具检查报告并及时整改隐患 4.配合义务 （1）配合采购人办理办公入驻、现场验收、租赁备案、审计检查等相关手续，提供所需产权证明、租赁合同等资料； （2）配合采购人根据办公需求进行合理装修改造（不改变房屋主体结构），提供房屋结构图并给予技术支持。 5.保密要求：不得泄露采购人工作文件、会议内容、人员信息、业务数据等涉密及敏感信息。 6.预算金额：520200元/年，最高限价520200元/年（单价不超过50元/㎡・月）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日—2027年4月30日止共12个月，可按年续签（续签按相关规定实施）。一年服务截止，下一年度在预算保障的前提下，采购人对于成交供应商考核，考核合格续签一年，续签最长不能超过两年，总计服务期不超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1.首次验收：按本采购需求、房屋现状、产权证明等资料现场核查，符合要求的签署验收合格单； 2.年度验收：每年租赁期满前 1 个月，对房屋状况、服务质量进行考核验收，验收不合格的限期整改，整改仍不合格的采购人有权解除合同。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按照合同约定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租赁和商务服务业的划定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2、本项目专门面向中小企业采购（残疾人福利性单位、监狱企业视同小型、微型企业）。3、需要落实的政府采购政策：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 （9）《关于扩大政府采购支持绿色建材促进建筑品质提升政策实施范围的通知》（财库〔2022〕35号）；（10）《国务院办公厅关于在政府采购中实施本国产品标准及相关政策的通知》（国办发〔2025〕34号）。 4、本项目不接受联合体响应。5、根据《西安高新区财政金融局关于开展政府采购供应商基本资格条件承诺制试点工作的通知（西高财函〔2024〕111号）》，简化对供应商资格条件等的形式审查，供应商只需以书面形式提供规定格式的《基本资格条件承诺函》(详见响应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格式--上传.docx 残疾人福利性单位声明函 中小企业声明函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应是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应提供税收缴纳凭证及社会保险缴纳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开户银行出具的资信证明或专业担保机构出具的投标担保函，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供应商应提供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供应商应提供履行合同所必需的设备和专业技术能力书面声明函，供应商需在项目电子化交易系统中按要求上传相应证明文件并进行电子签章或提供《基本资格条件承诺函》。</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本采购包专门面向中小企业采购（残疾人福利性单位、监狱企业视同小型、微型企业）</w:t>
            </w:r>
          </w:p>
        </w:tc>
        <w:tc>
          <w:tcPr>
            <w:tcW w:type="dxa" w:w="3322"/>
          </w:tcPr>
          <w:p>
            <w:pPr>
              <w:pStyle w:val="null3"/>
            </w:pPr>
            <w:r>
              <w:rPr>
                <w:rFonts w:ascii="仿宋_GB2312" w:hAnsi="仿宋_GB2312" w:cs="仿宋_GB2312" w:eastAsia="仿宋_GB2312"/>
              </w:rPr>
              <w:t>参与的供应商服务全部由符合政策要求的中小企业承接（残疾人福利性单位、监狱企业视同小型、微型企业），供应商需在项目电子化交易系统中按要求上传相应证明文件并进行电子签章。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报价唯一，磋商总报价及单价报价均未超过采购预算或限价</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响应文件有效期符合采购文件要求</w:t>
            </w:r>
          </w:p>
        </w:tc>
        <w:tc>
          <w:tcPr>
            <w:tcW w:type="dxa" w:w="1661"/>
          </w:tcPr>
          <w:p>
            <w:pPr>
              <w:pStyle w:val="null3"/>
            </w:pPr>
            <w:r>
              <w:rPr>
                <w:rFonts w:ascii="仿宋_GB2312" w:hAnsi="仿宋_GB2312" w:cs="仿宋_GB2312" w:eastAsia="仿宋_GB2312"/>
              </w:rPr>
              <w:t>格式--上传.docx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租赁服务方案</w:t>
            </w:r>
          </w:p>
        </w:tc>
        <w:tc>
          <w:tcPr>
            <w:tcW w:type="dxa" w:w="2492"/>
          </w:tcPr>
          <w:p>
            <w:pPr>
              <w:pStyle w:val="null3"/>
            </w:pPr>
            <w:r>
              <w:rPr>
                <w:rFonts w:ascii="仿宋_GB2312" w:hAnsi="仿宋_GB2312" w:cs="仿宋_GB2312" w:eastAsia="仿宋_GB2312"/>
              </w:rPr>
              <w:t>一、评审内容：供应商提供针对本项目的租赁服务方案。内容包括但不限于：①房屋状况描述（5分）;②房屋地理位置描述（5分）；③针对出租房屋用途的规划（5分）。 评审标准:以上内容专门针对本项目，且符合本项目实际需求的得15分，每有一项缺项扣5分，每有一项内容存在缺陷扣1分，扣完为止。注："缺陷"指内容明显错误，或内容不完整或缺少关键点等。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提供针对本项目租赁区域的质量保障措施。内容包括但不限于：①租赁区域设施、管线等配套及公共部分附属设备维修保障措施（5分）;②供应商提供的建筑、消防、水电、排水、排污等配套设施的保障措施（5分）；③租赁期间供应商与采购人工作配合的工作计划及保障措施（5分）。 评审标准:以上内容专门针对本项目，且符合本项目实际需求的得15分，每有一项缺项扣5分，每有一项内容存在缺陷扣1分，扣完为止。注："缺陷"指内容明显错误，或内容不完整或缺少关键点等。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一、评审内容：供应商提供针对本项目租赁区域的安全保障措施。内容包括但不限于：①燃气、电路、消防等安全保障措施（5分）;②出租方对采购人所承租场地的定期安全检查措施（5分）。 评审标准:以上内容专门针对本项目，且符合本项目实际需求的得10分，每有一项缺项扣5分，每有一项内容存在缺陷扣1分，扣完为止。注："缺陷"指内容明显错误，或内容不完整或缺少关键点等。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配套服务方案</w:t>
            </w:r>
          </w:p>
        </w:tc>
        <w:tc>
          <w:tcPr>
            <w:tcW w:type="dxa" w:w="2492"/>
          </w:tcPr>
          <w:p>
            <w:pPr>
              <w:pStyle w:val="null3"/>
            </w:pPr>
            <w:r>
              <w:rPr>
                <w:rFonts w:ascii="仿宋_GB2312" w:hAnsi="仿宋_GB2312" w:cs="仿宋_GB2312" w:eastAsia="仿宋_GB2312"/>
              </w:rPr>
              <w:t>一、评审内容：供应商提供针对本项目的配套服务方案。包括但不限于：①公共区域的保安、保洁服务方案（5分）；②租赁物及其附着设施设备定期检查保养方案（5分）。 评审标准:以上内容专门针对本项目，且符合本项目实际需求的得10分，每有一项缺项扣5分，每有一项内容存在缺陷扣1分，扣完为止。注："缺陷"指内容明显错误，或内容不完整或缺少关键点等。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交接方案</w:t>
            </w:r>
          </w:p>
        </w:tc>
        <w:tc>
          <w:tcPr>
            <w:tcW w:type="dxa" w:w="2492"/>
          </w:tcPr>
          <w:p>
            <w:pPr>
              <w:pStyle w:val="null3"/>
            </w:pPr>
            <w:r>
              <w:rPr>
                <w:rFonts w:ascii="仿宋_GB2312" w:hAnsi="仿宋_GB2312" w:cs="仿宋_GB2312" w:eastAsia="仿宋_GB2312"/>
              </w:rPr>
              <w:t>一、评审内容：供应商提供针对本项目租赁区域的交接方案。内容包括但不限于：①租赁时交接方案（3分）；②退租时的实施方案（3分）。 评审标准:以上内容专门针对本项目，且符合本项目实际需求的得6分，每有一项缺项扣3分，每有一项内容存在缺陷扣1分，扣完为止。注："缺陷"指内容明显错误，或内容不完整或缺少关键点等。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一、评审内容：供应商提供针对本项目的应急预案。内容包括但不限于：①相关配套建筑、设施、设备等出现问题时的应急处理方案（5分）;②应急小组职责及处理流程（5分）。 评审标准:以上内容专门针对本项目，且符合本项目实际需求的得10分，每有一项缺项扣5分，每有一项内容存在缺陷扣1分，扣完为止。注："缺陷"指内容明显错误，或内容不完整或缺少关键点等。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一、评审内容：供应商提供针对本项目的合理化建议。内容包括但不限于：①对房屋状况的分析报告（5分）；②提出专业指导及合理建议（5分）。 评审标准:以上内容专门针对本项目，且符合本项目实际需求的得10分，每有一项缺项扣5分，每有一项内容存在缺陷扣1分，扣完为止。注："缺陷"指内容明显错误，或内容不完整或缺少关键点等。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提供针对本项目的服务承诺。内容包括但不限于：①积极配合采购人服务要求的承诺（2分）；②服务期限内的质量、人员到位情况的承诺（2分）；③未能完全履行承诺时愿意接受相关处罚的承诺（2分）；④服务期限的响应承诺（2分）。 评审标准:以上内容专门针对本项目，且符合本项目实际需求的得8分，每有一项缺项扣2分，每有一项内容存在缺陷扣1分，扣完为止。注："缺陷"指内容明显错误，或内容不完整或缺少关键点等。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一、评审内容：供应商提供自2023年1月1日以来（以合同签订时间为准）类似项目业绩。每提供1个得3分，最高得6分。注：响应文件中须提供合同复印件加盖公章，业绩时间以合同签订时间为准。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各有效供应商的评审价中，取最终报价最低者作为基准价，各有效供应商的价格评分统一按照下列公式计算：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详见附件：格式--上传.docx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