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版本号：XDZ2025-451-N-257、XACH2026-01520260320001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档案室维修改造项目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XDZ2025-451-N-257、XACH2026-015</w:t>
      </w:r>
      <w:r>
        <w:br/>
      </w:r>
      <w:r>
        <w:br/>
      </w:r>
      <w:r>
        <w:br/>
      </w:r>
    </w:p>
    <w:p>
      <w:pPr>
        <w:pStyle w:val="null3"/>
        <w:jc w:val="center"/>
        <w:outlineLvl w:val="2"/>
      </w:pPr>
      <w:r>
        <w:rPr>
          <w:rFonts w:ascii="仿宋_GB2312" w:hAnsi="仿宋_GB2312" w:cs="仿宋_GB2312" w:eastAsia="仿宋_GB2312"/>
          <w:sz w:val="28"/>
          <w:b/>
        </w:rPr>
        <w:t>西安高新技术产业开发区财政金融局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西安高新技术产业开发区财政金融局</w:t>
      </w:r>
      <w:r>
        <w:rPr>
          <w:rFonts w:ascii="仿宋_GB2312" w:hAnsi="仿宋_GB2312" w:cs="仿宋_GB2312" w:eastAsia="仿宋_GB2312"/>
        </w:rPr>
        <w:t>委托，拟对</w:t>
      </w:r>
      <w:r>
        <w:rPr>
          <w:rFonts w:ascii="仿宋_GB2312" w:hAnsi="仿宋_GB2312" w:cs="仿宋_GB2312" w:eastAsia="仿宋_GB2312"/>
        </w:rPr>
        <w:t>档案室维修改造项目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XDZ2025-451-N-257、XACH2026-015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档案室维修改造项目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本工程主要内容包括档案室原有地面、墙面、顶面、门窗、暖气等拆除及新做，电路改造，办公楼及活动中心外墙面喷涂，约谈室墙面新做及弱电改造，后院路面拆除及新做，办公设备、办公家具采购及安装等。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采购包1（档案室维修改造项目）：属于专门面向中小企业采购。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工程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法定代表人参加磋商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4、资质证书：供应商具有建筑装修装饰工程专业承包二级及以上资质，并具有有效的安全生产许可证；供应商需在项目电子化交易系统中按要求上传相应证明文件并进行电子签章。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经理：项目经理须具备建筑工程专业二级及以上注册建造师资格,具有有效的安全生产考核合格证书（建安B证），且未担任其他在建工程项目的声明；供应商需在项目电子化交易系统中按要求上传相应证明文件并进行电子签章。</w:t>
      </w:r>
    </w:p>
    <w:p>
      <w:pPr>
        <w:pStyle w:val="null3"/>
      </w:pPr>
      <w:r>
        <w:rPr>
          <w:rFonts w:ascii="仿宋_GB2312" w:hAnsi="仿宋_GB2312" w:cs="仿宋_GB2312" w:eastAsia="仿宋_GB2312"/>
        </w:rPr>
        <w:t>6、中小企业声明函：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p>
      <w:pPr>
        <w:pStyle w:val="null3"/>
      </w:pPr>
      <w:r>
        <w:rPr>
          <w:rFonts w:ascii="仿宋_GB2312" w:hAnsi="仿宋_GB2312" w:cs="仿宋_GB2312" w:eastAsia="仿宋_GB2312"/>
        </w:rPr>
        <w:t>7、非联合体磋商：非联合体磋商声明;供应商需在项目电子化交易系统中按要求上传相应证明文件并进行电子签章。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西安高新技术产业开发区财政金融局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西安市长安区纬三十六路丝路创智谷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029-81887203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齐莎莎、商碧红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采购包1：1,695,300.00元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1.0%收取，100万-500万按0.7%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西安高新技术产业开发区财政金融局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西安高新技术产业开发区财政金融局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西安高新技术产业开发区财政金融局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一、符合国家、地方及行业合格标准。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联系人：齐莎莎</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1,695,300.00</w:t>
      </w:r>
    </w:p>
    <w:p>
      <w:pPr>
        <w:pStyle w:val="null3"/>
      </w:pPr>
      <w:r>
        <w:rPr>
          <w:rFonts w:ascii="仿宋_GB2312" w:hAnsi="仿宋_GB2312" w:cs="仿宋_GB2312" w:eastAsia="仿宋_GB2312"/>
        </w:rPr>
        <w:t>采购包最高限价（元）: 1,695,300.00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档案室维修改造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1,695,300.00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标的名称：档案室维修改造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6"/>
            </w:pPr>
            <w:r>
              <w:rPr>
                <w:rFonts w:ascii="仿宋_GB2312" w:hAnsi="仿宋_GB2312" w:cs="仿宋_GB2312" w:eastAsia="仿宋_GB2312"/>
                <w:sz w:val="24"/>
                <w:b/>
              </w:rPr>
              <w:t>一、项目概况</w:t>
            </w:r>
          </w:p>
          <w:p>
            <w:pPr>
              <w:pStyle w:val="null3"/>
              <w:numPr>
                <w:ilvl w:val="0"/>
                <w:numId w:val="1"/>
              </w:numPr>
            </w:pPr>
            <w:r>
              <w:rPr>
                <w:rFonts w:ascii="仿宋_GB2312" w:hAnsi="仿宋_GB2312" w:cs="仿宋_GB2312" w:eastAsia="仿宋_GB2312"/>
                <w:sz w:val="24"/>
              </w:rPr>
              <w:t>现有综合办公楼情况：三层砖混结构，年代已久。电路接触不良，时常发生短路现象，管道经常发生漏水堵塞现象，冬天暖气不热，不再适合当办公场所。</w:t>
            </w:r>
          </w:p>
          <w:p>
            <w:pPr>
              <w:pStyle w:val="null3"/>
              <w:numPr>
                <w:ilvl w:val="0"/>
                <w:numId w:val="1"/>
              </w:numPr>
            </w:pPr>
            <w:r>
              <w:rPr>
                <w:rFonts w:ascii="仿宋_GB2312" w:hAnsi="仿宋_GB2312" w:cs="仿宋_GB2312" w:eastAsia="仿宋_GB2312"/>
                <w:sz w:val="24"/>
              </w:rPr>
              <w:t>建设背景：解决原档案室存储容量不足、载量过大（在三楼）等安全隐患，按照档案室标准化要求将院内附楼改建为全新档案室，实现档案规范化管理。一层为档案库房、阅档室、办公区三大核心区，要求</w:t>
            </w:r>
            <w:r>
              <w:rPr>
                <w:rFonts w:ascii="仿宋_GB2312" w:hAnsi="仿宋_GB2312" w:cs="仿宋_GB2312" w:eastAsia="仿宋_GB2312"/>
                <w:sz w:val="24"/>
              </w:rPr>
              <w:t>“三室分开”；二层为改造为“大企业风险应对训练营”，以训代干开展全市大企业风险应对工作；三层为5间独立办公室。既满足档案存放需求，又解决办公人员开会和办公问题。同时，按照要求建设标准化约谈室。</w:t>
            </w:r>
          </w:p>
          <w:p>
            <w:pPr>
              <w:pStyle w:val="null3"/>
              <w:ind w:firstLine="486"/>
            </w:pPr>
            <w:r>
              <w:rPr>
                <w:rFonts w:ascii="仿宋_GB2312" w:hAnsi="仿宋_GB2312" w:cs="仿宋_GB2312" w:eastAsia="仿宋_GB2312"/>
                <w:sz w:val="24"/>
                <w:b/>
              </w:rPr>
              <w:t>二、施工内容</w:t>
            </w:r>
          </w:p>
          <w:p>
            <w:pPr>
              <w:pStyle w:val="null3"/>
              <w:ind w:firstLine="484"/>
            </w:pPr>
            <w:r>
              <w:rPr>
                <w:rFonts w:ascii="仿宋_GB2312" w:hAnsi="仿宋_GB2312" w:cs="仿宋_GB2312" w:eastAsia="仿宋_GB2312"/>
                <w:sz w:val="24"/>
              </w:rPr>
              <w:t>本工程主要内容包括档案室原有地面、墙面、顶面、门窗、暖气等拆除及新做，电路改造，办公楼及活动中心外墙面喷涂，约谈室墙面新做及弱电改造，后院路面拆除及新做，办公设备、办公家具采购及安装等。</w:t>
            </w:r>
          </w:p>
          <w:p>
            <w:pPr>
              <w:pStyle w:val="null3"/>
              <w:ind w:firstLine="486"/>
            </w:pPr>
            <w:r>
              <w:rPr>
                <w:rFonts w:ascii="仿宋_GB2312" w:hAnsi="仿宋_GB2312" w:cs="仿宋_GB2312" w:eastAsia="仿宋_GB2312"/>
                <w:sz w:val="24"/>
                <w:b/>
              </w:rPr>
              <w:t>三、实施地点</w:t>
            </w:r>
            <w:r>
              <w:rPr>
                <w:rFonts w:ascii="仿宋_GB2312" w:hAnsi="仿宋_GB2312" w:cs="仿宋_GB2312" w:eastAsia="仿宋_GB2312"/>
                <w:sz w:val="24"/>
              </w:rPr>
              <w:t>：</w:t>
            </w:r>
            <w:r>
              <w:rPr>
                <w:rFonts w:ascii="仿宋_GB2312" w:hAnsi="仿宋_GB2312" w:cs="仿宋_GB2312" w:eastAsia="仿宋_GB2312"/>
                <w:sz w:val="24"/>
              </w:rPr>
              <w:t>西安市雁塔区朱雀大街</w:t>
            </w:r>
            <w:r>
              <w:rPr>
                <w:rFonts w:ascii="仿宋_GB2312" w:hAnsi="仿宋_GB2312" w:cs="仿宋_GB2312" w:eastAsia="仿宋_GB2312"/>
                <w:sz w:val="24"/>
              </w:rPr>
              <w:t>527号</w:t>
            </w:r>
          </w:p>
          <w:p>
            <w:pPr>
              <w:pStyle w:val="null3"/>
              <w:ind w:firstLine="486"/>
            </w:pPr>
            <w:r>
              <w:rPr>
                <w:rFonts w:ascii="仿宋_GB2312" w:hAnsi="仿宋_GB2312" w:cs="仿宋_GB2312" w:eastAsia="仿宋_GB2312"/>
                <w:sz w:val="24"/>
                <w:b/>
              </w:rPr>
              <w:t>四</w:t>
            </w:r>
            <w:r>
              <w:rPr>
                <w:rFonts w:ascii="仿宋_GB2312" w:hAnsi="仿宋_GB2312" w:cs="仿宋_GB2312" w:eastAsia="仿宋_GB2312"/>
                <w:sz w:val="24"/>
                <w:b/>
              </w:rPr>
              <w:t>、项目要求：</w:t>
            </w:r>
          </w:p>
          <w:p>
            <w:pPr>
              <w:pStyle w:val="null3"/>
              <w:ind w:firstLine="484"/>
            </w:pPr>
            <w:r>
              <w:rPr>
                <w:rFonts w:ascii="仿宋_GB2312" w:hAnsi="仿宋_GB2312" w:cs="仿宋_GB2312" w:eastAsia="仿宋_GB2312"/>
                <w:sz w:val="24"/>
              </w:rPr>
              <w:t>1、</w:t>
            </w:r>
            <w:r>
              <w:rPr>
                <w:rFonts w:ascii="仿宋_GB2312" w:hAnsi="仿宋_GB2312" w:cs="仿宋_GB2312" w:eastAsia="仿宋_GB2312"/>
                <w:sz w:val="24"/>
              </w:rPr>
              <w:t>工程质量目标</w:t>
            </w:r>
            <w:r>
              <w:rPr>
                <w:rFonts w:ascii="仿宋_GB2312" w:hAnsi="仿宋_GB2312" w:cs="仿宋_GB2312" w:eastAsia="仿宋_GB2312"/>
                <w:sz w:val="24"/>
              </w:rPr>
              <w:t>:</w:t>
            </w:r>
            <w:r>
              <w:rPr>
                <w:rFonts w:ascii="仿宋_GB2312" w:hAnsi="仿宋_GB2312" w:cs="仿宋_GB2312" w:eastAsia="仿宋_GB2312"/>
                <w:sz w:val="24"/>
              </w:rPr>
              <w:t>达到国家、省市或相关行业</w:t>
            </w:r>
            <w:r>
              <w:rPr>
                <w:rFonts w:ascii="仿宋_GB2312" w:hAnsi="仿宋_GB2312" w:cs="仿宋_GB2312" w:eastAsia="仿宋_GB2312"/>
                <w:sz w:val="24"/>
              </w:rPr>
              <w:t>规范</w:t>
            </w:r>
            <w:r>
              <w:rPr>
                <w:rFonts w:ascii="仿宋_GB2312" w:hAnsi="仿宋_GB2312" w:cs="仿宋_GB2312" w:eastAsia="仿宋_GB2312"/>
                <w:sz w:val="24"/>
              </w:rPr>
              <w:t>“合格”标准要求</w:t>
            </w:r>
            <w:r>
              <w:rPr>
                <w:rFonts w:ascii="仿宋_GB2312" w:hAnsi="仿宋_GB2312" w:cs="仿宋_GB2312" w:eastAsia="仿宋_GB2312"/>
                <w:sz w:val="24"/>
              </w:rPr>
              <w:t>。</w:t>
            </w:r>
          </w:p>
          <w:p>
            <w:pPr>
              <w:pStyle w:val="null3"/>
              <w:ind w:firstLine="484"/>
            </w:pPr>
            <w:r>
              <w:rPr>
                <w:rFonts w:ascii="仿宋_GB2312" w:hAnsi="仿宋_GB2312" w:cs="仿宋_GB2312" w:eastAsia="仿宋_GB2312"/>
                <w:sz w:val="24"/>
              </w:rPr>
              <w:t>2、安全生产目标</w:t>
            </w:r>
            <w:r>
              <w:rPr>
                <w:rFonts w:ascii="仿宋_GB2312" w:hAnsi="仿宋_GB2312" w:cs="仿宋_GB2312" w:eastAsia="仿宋_GB2312"/>
                <w:sz w:val="24"/>
              </w:rPr>
              <w:t>:无伤亡事故、无重大机械事故、无扬尘、无噪音扰民。</w:t>
            </w:r>
          </w:p>
          <w:p>
            <w:pPr>
              <w:pStyle w:val="null3"/>
              <w:ind w:firstLine="526"/>
            </w:pP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工期及质保期</w:t>
            </w:r>
            <w:r>
              <w:rPr>
                <w:rFonts w:ascii="仿宋_GB2312" w:hAnsi="仿宋_GB2312" w:cs="仿宋_GB2312" w:eastAsia="仿宋_GB2312"/>
                <w:sz w:val="24"/>
                <w:b/>
              </w:rPr>
              <w:t>：</w:t>
            </w:r>
          </w:p>
          <w:p>
            <w:pPr>
              <w:pStyle w:val="null3"/>
              <w:ind w:firstLine="484"/>
            </w:pPr>
            <w:r>
              <w:rPr>
                <w:rFonts w:ascii="仿宋_GB2312" w:hAnsi="仿宋_GB2312" w:cs="仿宋_GB2312" w:eastAsia="仿宋_GB2312"/>
                <w:sz w:val="24"/>
              </w:rPr>
              <w:t>1、工期：自合同签订之日起</w:t>
            </w:r>
            <w:r>
              <w:rPr>
                <w:rFonts w:ascii="仿宋_GB2312" w:hAnsi="仿宋_GB2312" w:cs="仿宋_GB2312" w:eastAsia="仿宋_GB2312"/>
                <w:sz w:val="24"/>
                <w:u w:val="single"/>
              </w:rPr>
              <w:t>90</w:t>
            </w:r>
            <w:r>
              <w:rPr>
                <w:rFonts w:ascii="仿宋_GB2312" w:hAnsi="仿宋_GB2312" w:cs="仿宋_GB2312" w:eastAsia="仿宋_GB2312"/>
                <w:sz w:val="24"/>
              </w:rPr>
              <w:t>日历日</w:t>
            </w:r>
            <w:r>
              <w:rPr>
                <w:rFonts w:ascii="仿宋_GB2312" w:hAnsi="仿宋_GB2312" w:cs="仿宋_GB2312" w:eastAsia="仿宋_GB2312"/>
                <w:sz w:val="24"/>
              </w:rPr>
              <w:t>。</w:t>
            </w:r>
          </w:p>
          <w:p>
            <w:pPr>
              <w:pStyle w:val="null3"/>
              <w:ind w:firstLine="484"/>
            </w:pPr>
            <w:r>
              <w:rPr>
                <w:rFonts w:ascii="仿宋_GB2312" w:hAnsi="仿宋_GB2312" w:cs="仿宋_GB2312" w:eastAsia="仿宋_GB2312"/>
                <w:sz w:val="24"/>
              </w:rPr>
              <w:t>2、质保期</w:t>
            </w:r>
            <w:r>
              <w:rPr>
                <w:rFonts w:ascii="仿宋_GB2312" w:hAnsi="仿宋_GB2312" w:cs="仿宋_GB2312" w:eastAsia="仿宋_GB2312"/>
                <w:sz w:val="24"/>
              </w:rPr>
              <w:t>：自工程</w:t>
            </w:r>
            <w:r>
              <w:rPr>
                <w:rFonts w:ascii="仿宋_GB2312" w:hAnsi="仿宋_GB2312" w:cs="仿宋_GB2312" w:eastAsia="仿宋_GB2312"/>
                <w:sz w:val="24"/>
              </w:rPr>
              <w:t>通过</w:t>
            </w:r>
            <w:r>
              <w:rPr>
                <w:rFonts w:ascii="仿宋_GB2312" w:hAnsi="仿宋_GB2312" w:cs="仿宋_GB2312" w:eastAsia="仿宋_GB2312"/>
                <w:sz w:val="24"/>
              </w:rPr>
              <w:t>竣工验收合格之日起</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2 </w:t>
            </w:r>
            <w:r>
              <w:rPr>
                <w:rFonts w:ascii="仿宋_GB2312" w:hAnsi="仿宋_GB2312" w:cs="仿宋_GB2312" w:eastAsia="仿宋_GB2312"/>
                <w:sz w:val="24"/>
              </w:rPr>
              <w:t>年。</w:t>
            </w:r>
          </w:p>
          <w:p>
            <w:pPr>
              <w:pStyle w:val="null3"/>
              <w:ind w:firstLine="486"/>
            </w:pPr>
            <w:r>
              <w:rPr>
                <w:rFonts w:ascii="仿宋_GB2312" w:hAnsi="仿宋_GB2312" w:cs="仿宋_GB2312" w:eastAsia="仿宋_GB2312"/>
                <w:sz w:val="24"/>
                <w:b/>
              </w:rPr>
              <w:t>六</w:t>
            </w:r>
            <w:r>
              <w:rPr>
                <w:rFonts w:ascii="仿宋_GB2312" w:hAnsi="仿宋_GB2312" w:cs="仿宋_GB2312" w:eastAsia="仿宋_GB2312"/>
                <w:sz w:val="24"/>
                <w:b/>
              </w:rPr>
              <w:t>、安全</w:t>
            </w:r>
            <w:r>
              <w:rPr>
                <w:rFonts w:ascii="仿宋_GB2312" w:hAnsi="仿宋_GB2312" w:cs="仿宋_GB2312" w:eastAsia="仿宋_GB2312"/>
                <w:sz w:val="24"/>
                <w:b/>
              </w:rPr>
              <w:t>技术</w:t>
            </w:r>
            <w:r>
              <w:rPr>
                <w:rFonts w:ascii="仿宋_GB2312" w:hAnsi="仿宋_GB2312" w:cs="仿宋_GB2312" w:eastAsia="仿宋_GB2312"/>
                <w:sz w:val="24"/>
                <w:b/>
              </w:rPr>
              <w:t>要求</w:t>
            </w:r>
          </w:p>
          <w:p>
            <w:pPr>
              <w:pStyle w:val="null3"/>
              <w:ind w:firstLine="484"/>
            </w:pPr>
            <w:r>
              <w:rPr>
                <w:rFonts w:ascii="仿宋_GB2312" w:hAnsi="仿宋_GB2312" w:cs="仿宋_GB2312" w:eastAsia="仿宋_GB2312"/>
                <w:sz w:val="24"/>
              </w:rPr>
              <w:t>遵守工程建设安全生产有关管理规定，严格按安全标准组织施工，采取必要的安全生产措施，消除事故隐患。安全措施不力造成事故责任和发生的费用由成交供应商承担。</w:t>
            </w:r>
          </w:p>
          <w:p>
            <w:pPr>
              <w:pStyle w:val="null3"/>
              <w:ind w:firstLine="486"/>
            </w:pPr>
            <w:r>
              <w:rPr>
                <w:rFonts w:ascii="仿宋_GB2312" w:hAnsi="仿宋_GB2312" w:cs="仿宋_GB2312" w:eastAsia="仿宋_GB2312"/>
                <w:sz w:val="24"/>
                <w:b/>
              </w:rPr>
              <w:t>七</w:t>
            </w:r>
            <w:r>
              <w:rPr>
                <w:rFonts w:ascii="仿宋_GB2312" w:hAnsi="仿宋_GB2312" w:cs="仿宋_GB2312" w:eastAsia="仿宋_GB2312"/>
                <w:sz w:val="24"/>
                <w:b/>
              </w:rPr>
              <w:t>、工程施工基本要求</w:t>
            </w:r>
          </w:p>
          <w:p>
            <w:pPr>
              <w:pStyle w:val="null3"/>
              <w:ind w:firstLine="484"/>
            </w:pPr>
            <w:r>
              <w:rPr>
                <w:rFonts w:ascii="仿宋_GB2312" w:hAnsi="仿宋_GB2312" w:cs="仿宋_GB2312" w:eastAsia="仿宋_GB2312"/>
                <w:sz w:val="24"/>
              </w:rPr>
              <w:t>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p>
            <w:pPr>
              <w:pStyle w:val="null3"/>
              <w:ind w:left="630"/>
            </w:pPr>
            <w:r>
              <w:rPr>
                <w:rFonts w:ascii="仿宋_GB2312" w:hAnsi="仿宋_GB2312" w:cs="仿宋_GB2312" w:eastAsia="仿宋_GB2312"/>
                <w:sz w:val="24"/>
                <w:b/>
              </w:rPr>
              <w:t>八、其他要求</w:t>
            </w:r>
          </w:p>
          <w:p>
            <w:pPr>
              <w:pStyle w:val="null3"/>
            </w:pPr>
            <w:r>
              <w:rPr>
                <w:rFonts w:ascii="仿宋_GB2312" w:hAnsi="仿宋_GB2312" w:cs="仿宋_GB2312" w:eastAsia="仿宋_GB2312"/>
                <w:sz w:val="24"/>
              </w:rPr>
              <w:t>供应商根据工程量清单提供办公设备及办公家具，并进行安装调试，同时提供培训及售后服务，确保采购人能正常使用。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《建筑装饰装修工程质量验收规范》（GB50210-2001） 《施工现场临时用电安全技术规范》JGJ46-2005 《电气装置安装工程电器照明装置施工及验收规范》（GB50259-96） 《建筑工程施工质量验收统一标准》（GB50300-2001） 《建设工程文件归档整理规范》（GB／T50328－2001） 《建筑施工安全检查标准》JGJ59-2011 《混凝土结构工程施工及验收规范》 根据建设部发布的《工程建设强制性条文》及其它相关专业规范及行业标准。 以上规范、标准如遇调整或最新规范时，以调整后或最新规范内容为准。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3.3.1付款方式及依据： ①付款方式：合同签订后采购人向供应商支付合同暂定金额30%预付款，工程全部完工并由采购人验收合格并确认后，支付至合同暂定金额的80%，待结算审核完成后支付至结算金额的97%，剩余3%作为质保金，质保金在缺陷责任期(24个月)满后一次性无息支付。 ②付款依据：等额发票、验收报告或相关证明材料。 注：工程结算以财政结算审定价款据实结算。 3.3.2本项目磋商总报价为完成本项目磋商文件中所提出的工作范围及要求的全部内容，并达到国家及采购人验收标准而产生的所有费用，磋商报价包括但不限于以下内容：包括货物价款(含通常配备的备品备件、易损件）、包装费、运杂费（含保险费）、装卸费、安装调试费、售后服务费、人工费、材料费、机械费、措施费、管理费、利润、规费、税金、风险、工程保险费、招标代理服务费、防污治霾费等完成本项目所产生的一切费用。任何错报、漏报由供应商自行负责。 3.3.3清单编制依据：《陕西省建设工程工程量清单计价规则（2009）》《陕西省建筑装饰工程消耗量定额（2004）》《陕西省市政工程消耗量定额（2004）》《陕西省安装工程消耗量定额（2004）》及其补充定额，《陕西省建筑装饰工程价目表（2009）》《陕西省市政工程价目表（2009）》《陕西省安装工程价目表（2009）》及配套计价费率、相关政策性文件。 3.3.4广联达计价软件版本号：GCCP6.4000.23.122。 3.3.5成交人领取成交通知书时须向代理机构提交纸质版磋商响应文件：正本壹份、副本贰份、电子版（U盘）贰份。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 【采购标的对应的中小企业划分标准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供应商具有建筑装修装饰工程专业承包二级及以上资质，并具有有效的安全生产许可证；供应商需在项目电子化交易系统中按要求上传相应证明文件并进行电子签章。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建筑工程专业二级及以上注册建造师资格,具有有效的安全生产考核合格证书（建安B证），且未担任其他在建工程项目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中小企业声明函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（一）出现下列情形之一的，磋商小组应当启动异常低价投标（响应）审查程序：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2.磋商报价低于通过符合性审查的次低报价供应商磋商报价50%的，即磋商报价&lt;通过符合性审查的次低报价供应商投标（响应）报价×50%； 3.磋商报价低于采购项目最高限价45%的，即磋商报价&lt;采购项目最高限价×45%； 4.磋商小组基于专业判断，认为供应商报价过低，有可能影响产品质量或者不能诚信履约的其他情形。 （二）磋商小组启动异常低价投标审查后，属于前述第1项至第4项情形的，相关供应商在30分钟内对投标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磋商处理；</w:t>
            </w:r>
          </w:p>
        </w:tc>
        <w:tc>
          <w:tcPr>
            <w:tcW w:type="dxa" w:w="1661"/>
          </w:tcPr>
          <w:p>
            <w:pPr>
              <w:pStyle w:val="null3"/>
            </w:pPr>
            <w:r>
              <w:rPr>
                <w:rFonts w:ascii="仿宋_GB2312" w:hAnsi="仿宋_GB2312" w:cs="仿宋_GB2312" w:eastAsia="仿宋_GB2312"/>
              </w:rPr>
              <w:t>报价一览表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响应文件有磋商响应有效期且响应有效期达到磋商文件的要求；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供应商针对同一工程及服务未递交两份或多份内容不同的响应文件，未出现选择性报价；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 已标价工程量清单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供应商针对本项目提供具体可行的施工方案，内容包括：①装饰装修工程施工方案；②电气设备安装工程施工方案；③给排水工程施工方案；④弱电工程施工方案；⑤办公设备、办公家具的采购及安装方案。 二、评审标准 1.完整性：方案须全面，对评审内容中的各项要求有详细描述； 2.可实施性：切合本项目实际情况，实施步骤清晰、合理； 3.针对性：方案能够紧扣项目实际情况，内容科学合理。 三、赋分标准 ①装饰装修工程施工方案：每完全满足一项评审标准计1分，满分3分。 ②电气设备安装工程施工方案：每完全满足一项评审标准计1分，满分3分。 ③给排水工程施工方案：每完全满足一项评审标准计1分，满分3分。 ④弱电工程施工方案：每完全满足一项评审标准计1分，满分3分。 ⑤办公设备、办公家具的采购及安装方案：每完全满足一项评审标准计1分，满分3分。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根据本项目拟投入的人员进行评审，内容包括：①人员配备数量及清单；②人员职责与分工明确；③人员专业性及工作经验。 二、评审标准 1.完整性：方案须全面，对评审内容中的各项要求有详细描述； 2.可实施性：切合本项目实际情况，实施步骤清晰、合理； 3.针对性：方案能够紧扣项目实际情况，内容科学合理。 三、赋分标准 ①人员配备数量及清单：每完全满足一项评审标准计1分，满分3分。 ②人员职责与分工明确：每完全满足一项评审标准计1分，满分3分。 ③人员专业性及工作经验：每完全满足一项评审标准1分，满分3分。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施工机械及工器具、车辆的配备情况</w:t>
            </w:r>
          </w:p>
        </w:tc>
        <w:tc>
          <w:tcPr>
            <w:tcW w:type="dxa" w:w="2492"/>
          </w:tcPr>
          <w:p>
            <w:pPr>
              <w:pStyle w:val="null3"/>
            </w:pPr>
            <w:r>
              <w:rPr>
                <w:rFonts w:ascii="仿宋_GB2312" w:hAnsi="仿宋_GB2312" w:cs="仿宋_GB2312" w:eastAsia="仿宋_GB2312"/>
              </w:rPr>
              <w:t>一、评审内容 供应商根据本项目提供施工机械及工器具、车辆的配备情况，内容包括：①施工机械及工器具配备清单、车辆清单；②车辆产权证明或租赁合同、保险、发票等资料。 二、评审标准 1.完整性：方案须全面，对评审内容中的各项要求有详细描述； 2.可实施性：切合本项目实际情况，实施步骤清晰、合理； 3.针对性：方案能够紧扣项目实际情况，内容科学合理。 三、赋分标准 ①施工机械及工器具配备清单、车辆清单：每完全满足一项评审标准计1分，满分3分。 ②车辆产权证明或租赁合同、保险、发票等资料：每完全满足一项评审标准计1分，满分3分。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一、评审内容 供应商针对本项目提供确保工程质量的技术组织措施，内容包括：①质量目标管理体系；；②施工质量的检验制度；③确保质量的技术组织措施及控制措施。 二、评审标准 1.完整性：方案须全面，对评审内容中的各项要求有详细描述； 2.可实施性：切合本项目实际情况，实施步骤清晰、合理； 3.针对性：方案能够紧扣项目实际情况，内容科学合理。 三、赋分标准 ①质量目标管理体系：每完全满足一项评审标准计1分，满分3分。 ②施工质量的检验制度：每完全满足一项评审标准计1分，满分3分。 ③确保质量的技术组织措施及控制措施：每完全满足一项评审标准计1分，满分3分。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治污减霾和防尘污染的技术组织措施</w:t>
            </w:r>
          </w:p>
        </w:tc>
        <w:tc>
          <w:tcPr>
            <w:tcW w:type="dxa" w:w="2492"/>
          </w:tcPr>
          <w:p>
            <w:pPr>
              <w:pStyle w:val="null3"/>
            </w:pPr>
            <w:r>
              <w:rPr>
                <w:rFonts w:ascii="仿宋_GB2312" w:hAnsi="仿宋_GB2312" w:cs="仿宋_GB2312" w:eastAsia="仿宋_GB2312"/>
              </w:rPr>
              <w:t>一、评审内容 供应商针对本项目提供具体可行的治污减霾和防尘污染的技术组织措施，内容包括：①施工污染防治措施；②施工噪声污染防治措施；③施工固废（危废）污染防治措施。 二、评审标准 1.完整性：方案须全面，对评审内容中的各项要求有详细描述； 2.可实施性：切合本项目实际情况，实施步骤清晰、合理； 3.针对性：方案能够紧扣项目实际情况，内容科学合理。 三、赋分标准 ①施工污染防治措施：每完全满足一项评审标准计1分，满分3分。 ②施工噪声污染防治措施：每完全满足一项评审标准计1分，满分3分。 ③施工固废（危废）污染防治措施：每完全满足一项评审标准计1分，满分3分。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安全生产和文明施工的技术组织措施</w:t>
            </w:r>
          </w:p>
        </w:tc>
        <w:tc>
          <w:tcPr>
            <w:tcW w:type="dxa" w:w="2492"/>
          </w:tcPr>
          <w:p>
            <w:pPr>
              <w:pStyle w:val="null3"/>
            </w:pPr>
            <w:r>
              <w:rPr>
                <w:rFonts w:ascii="仿宋_GB2312" w:hAnsi="仿宋_GB2312" w:cs="仿宋_GB2312" w:eastAsia="仿宋_GB2312"/>
              </w:rPr>
              <w:t>一、评审内容 供应商针对本项目提供确保安全生产和文明施工的技术组织措施，内容包括：①安全生产管理制度体系及安全生产教育；②安全施工措施。 二、评审标准 1.完整性：方案须全面，对评审内容中的各项要求有详细描述； 2.可实施性：切合本项目实际情况，实施步骤清晰、合理； 3.针对性：方案能够紧扣项目实际情况，内容科学合理。 三、赋分标准 ①安全生产管理制度体系及安全生产教育：每完全满足一项评审标准计1分，满分3分。 ②安全施工措施：每完全满足一项评审标准计1分，满分3分。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一、评审内容 供应商针对本项目提供施工进度保证措施，内容包括：①总体实施进度安排；②进度保障措施。 二、评审标准 1.完整性：方案须全面，对评审内容中的各项要求有详细描述； 2.可实施性：切合本项目实际情况，实施步骤清晰、合理； 3.针对性：方案能够紧扣项目实际情况，内容科学合理。 三、赋分标准 ①总体实施进度安排：每完全满足一项评审标准计1分，满分3分。 ②进度保障措施：每完全满足一项评审标准计1分，满分3分。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应急措施和解决方案</w:t>
            </w:r>
          </w:p>
        </w:tc>
        <w:tc>
          <w:tcPr>
            <w:tcW w:type="dxa" w:w="2492"/>
          </w:tcPr>
          <w:p>
            <w:pPr>
              <w:pStyle w:val="null3"/>
            </w:pPr>
            <w:r>
              <w:rPr>
                <w:rFonts w:ascii="仿宋_GB2312" w:hAnsi="仿宋_GB2312" w:cs="仿宋_GB2312" w:eastAsia="仿宋_GB2312"/>
              </w:rPr>
              <w:t>一、评审内容 针对本项目可能出现的问题及重大事故，供应商有具体可行的应急措施和解决方案，内容包括：①响应时间及人员安排；②各类事故应急处置预案。 二、评审标准 1.完整性：方案须全面，对评审内容中的各项要求有详细描述； 2.可实施性：切合本项目实际情况，实施步骤清晰、合理； 3.针对性：方案能够紧扣项目实际情况，内容科学合理。 三、赋分标准 ①响应时间及人员安排：每完全满足一项评审标准计1分，满分3分。 ②各类事故应急处置预案：每完全满足一项评审标准计1分，满分3分。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提供供应商2023年以来类似项目业绩合同（以合同签订时间为准），每份计1分，满分4分。（注：以上证明文件在磋商响应文件中附业绩合同扫描件并加盖公章）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详见附件：技术标</w:t>
      </w:r>
    </w:p>
    <w:p>
      <w:pPr>
        <w:pStyle w:val="null3"/>
        <w:ind w:firstLine="960"/>
      </w:pPr>
      <w:r>
        <w:rPr>
          <w:rFonts w:ascii="仿宋_GB2312" w:hAnsi="仿宋_GB2312" w:cs="仿宋_GB2312" w:eastAsia="仿宋_GB2312"/>
        </w:rPr>
        <w:t>详见附件：报价一览表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