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41E75">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项目编号：        </w:t>
      </w:r>
    </w:p>
    <w:p w14:paraId="5D3093B5">
      <w:pPr>
        <w:spacing w:line="560" w:lineRule="exact"/>
        <w:rPr>
          <w:rFonts w:hint="eastAsia" w:ascii="仿宋" w:hAnsi="仿宋" w:eastAsia="仿宋" w:cs="仿宋"/>
          <w:color w:val="auto"/>
          <w:sz w:val="28"/>
          <w:szCs w:val="28"/>
          <w:highlight w:val="none"/>
        </w:rPr>
      </w:pPr>
    </w:p>
    <w:p w14:paraId="63602FE5">
      <w:pPr>
        <w:spacing w:line="560" w:lineRule="exact"/>
        <w:rPr>
          <w:rFonts w:hint="eastAsia" w:ascii="仿宋" w:hAnsi="仿宋" w:eastAsia="仿宋" w:cs="仿宋"/>
          <w:color w:val="auto"/>
          <w:sz w:val="28"/>
          <w:szCs w:val="28"/>
          <w:highlight w:val="none"/>
        </w:rPr>
      </w:pPr>
    </w:p>
    <w:p w14:paraId="3A76F0DA">
      <w:pPr>
        <w:spacing w:line="560" w:lineRule="exact"/>
        <w:rPr>
          <w:rFonts w:hint="eastAsia" w:ascii="仿宋" w:hAnsi="仿宋" w:eastAsia="仿宋" w:cs="仿宋"/>
          <w:color w:val="auto"/>
          <w:sz w:val="52"/>
          <w:szCs w:val="52"/>
          <w:highlight w:val="none"/>
        </w:rPr>
      </w:pPr>
      <w:r>
        <w:rPr>
          <w:rFonts w:hint="eastAsia" w:ascii="仿宋" w:hAnsi="仿宋" w:eastAsia="仿宋" w:cs="仿宋"/>
          <w:color w:val="auto"/>
          <w:sz w:val="28"/>
          <w:szCs w:val="28"/>
          <w:highlight w:val="none"/>
        </w:rPr>
        <w:t xml:space="preserve"> </w:t>
      </w:r>
    </w:p>
    <w:p w14:paraId="11A945EA">
      <w:pPr>
        <w:spacing w:before="333" w:beforeLines="100" w:after="333" w:afterLines="100" w:line="800" w:lineRule="exact"/>
        <w:jc w:val="center"/>
        <w:rPr>
          <w:rFonts w:hint="eastAsia" w:ascii="仿宋" w:hAnsi="仿宋" w:eastAsia="仿宋" w:cs="仿宋"/>
          <w:b/>
          <w:color w:val="auto"/>
          <w:sz w:val="56"/>
          <w:szCs w:val="56"/>
          <w:highlight w:val="none"/>
          <w:lang w:eastAsia="zh-CN"/>
        </w:rPr>
      </w:pPr>
      <w:r>
        <w:rPr>
          <w:rFonts w:hint="eastAsia" w:ascii="仿宋" w:hAnsi="仿宋" w:eastAsia="仿宋" w:cs="仿宋"/>
          <w:b/>
          <w:color w:val="auto"/>
          <w:sz w:val="56"/>
          <w:szCs w:val="56"/>
          <w:highlight w:val="none"/>
          <w:lang w:eastAsia="zh-CN"/>
        </w:rPr>
        <w:t>“一区一策”研判分析及重点区域管控项目</w:t>
      </w:r>
    </w:p>
    <w:p w14:paraId="6999ECB8">
      <w:pPr>
        <w:pStyle w:val="5"/>
        <w:spacing w:before="333" w:beforeLines="100" w:after="333" w:afterLines="100"/>
        <w:rPr>
          <w:rFonts w:hint="eastAsia"/>
          <w:color w:val="auto"/>
          <w:highlight w:val="none"/>
        </w:rPr>
      </w:pPr>
    </w:p>
    <w:p w14:paraId="1C30C809">
      <w:pPr>
        <w:pStyle w:val="5"/>
        <w:spacing w:before="333" w:beforeLines="100" w:after="333" w:afterLines="100"/>
        <w:rPr>
          <w:rFonts w:hint="eastAsia"/>
          <w:color w:val="auto"/>
          <w:highlight w:val="none"/>
        </w:rPr>
      </w:pPr>
    </w:p>
    <w:p w14:paraId="662F520D">
      <w:pPr>
        <w:pStyle w:val="5"/>
        <w:rPr>
          <w:rFonts w:hint="eastAsia"/>
          <w:color w:val="auto"/>
          <w:highlight w:val="none"/>
        </w:rPr>
      </w:pPr>
    </w:p>
    <w:p w14:paraId="17B9F110">
      <w:pPr>
        <w:pStyle w:val="5"/>
        <w:rPr>
          <w:rFonts w:hint="eastAsia"/>
          <w:color w:val="auto"/>
          <w:highlight w:val="none"/>
        </w:rPr>
      </w:pPr>
    </w:p>
    <w:p w14:paraId="2DEC7390">
      <w:pPr>
        <w:spacing w:line="560" w:lineRule="exact"/>
        <w:jc w:val="center"/>
        <w:rPr>
          <w:rFonts w:hint="eastAsia" w:ascii="仿宋" w:hAnsi="仿宋" w:eastAsia="仿宋" w:cs="仿宋"/>
          <w:b/>
          <w:color w:val="auto"/>
          <w:sz w:val="44"/>
          <w:szCs w:val="44"/>
          <w:highlight w:val="none"/>
        </w:rPr>
      </w:pPr>
    </w:p>
    <w:p w14:paraId="4BEA0B03">
      <w:pPr>
        <w:spacing w:line="560" w:lineRule="exact"/>
        <w:jc w:val="center"/>
        <w:rPr>
          <w:rFonts w:hint="eastAsia" w:ascii="仿宋" w:hAnsi="仿宋" w:eastAsia="仿宋" w:cs="仿宋"/>
          <w:b/>
          <w:color w:val="auto"/>
          <w:highlight w:val="none"/>
        </w:rPr>
      </w:pPr>
      <w:r>
        <w:rPr>
          <w:rFonts w:hint="eastAsia" w:ascii="仿宋" w:hAnsi="仿宋" w:eastAsia="仿宋" w:cs="仿宋"/>
          <w:b/>
          <w:color w:val="auto"/>
          <w:sz w:val="44"/>
          <w:szCs w:val="44"/>
          <w:highlight w:val="none"/>
        </w:rPr>
        <w:t xml:space="preserve"> 合 同</w:t>
      </w:r>
    </w:p>
    <w:p w14:paraId="304C3B28">
      <w:pPr>
        <w:spacing w:line="560" w:lineRule="exact"/>
        <w:ind w:firstLine="843" w:firstLineChars="400"/>
        <w:rPr>
          <w:rFonts w:hint="eastAsia" w:ascii="仿宋" w:hAnsi="仿宋" w:eastAsia="仿宋" w:cs="仿宋"/>
          <w:b/>
          <w:color w:val="auto"/>
          <w:highlight w:val="none"/>
        </w:rPr>
      </w:pPr>
    </w:p>
    <w:p w14:paraId="038E5647">
      <w:pPr>
        <w:spacing w:line="560" w:lineRule="exact"/>
        <w:ind w:firstLine="843" w:firstLineChars="400"/>
        <w:rPr>
          <w:rFonts w:hint="eastAsia" w:ascii="仿宋" w:hAnsi="仿宋" w:eastAsia="仿宋" w:cs="仿宋"/>
          <w:b/>
          <w:color w:val="auto"/>
          <w:highlight w:val="none"/>
        </w:rPr>
      </w:pPr>
    </w:p>
    <w:p w14:paraId="6E88F558">
      <w:pPr>
        <w:spacing w:line="560" w:lineRule="exact"/>
        <w:ind w:firstLine="843" w:firstLineChars="400"/>
        <w:rPr>
          <w:rFonts w:hint="eastAsia" w:ascii="仿宋" w:hAnsi="仿宋" w:eastAsia="仿宋" w:cs="仿宋"/>
          <w:b/>
          <w:color w:val="auto"/>
          <w:highlight w:val="none"/>
        </w:rPr>
      </w:pPr>
    </w:p>
    <w:p w14:paraId="52FE5E59">
      <w:pPr>
        <w:spacing w:line="720" w:lineRule="auto"/>
        <w:ind w:firstLine="1124" w:firstLineChars="400"/>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甲  方：</w:t>
      </w:r>
      <w:r>
        <w:rPr>
          <w:rFonts w:hint="eastAsia" w:ascii="仿宋" w:hAnsi="仿宋" w:eastAsia="仿宋" w:cs="仿宋"/>
          <w:b/>
          <w:color w:val="auto"/>
          <w:sz w:val="28"/>
          <w:szCs w:val="28"/>
          <w:highlight w:val="none"/>
          <w:u w:val="single"/>
        </w:rPr>
        <w:t xml:space="preserve">                                  </w:t>
      </w:r>
    </w:p>
    <w:p w14:paraId="3C3408B6">
      <w:pPr>
        <w:pStyle w:val="5"/>
        <w:spacing w:line="720" w:lineRule="auto"/>
        <w:rPr>
          <w:rFonts w:hint="eastAsia"/>
          <w:color w:val="auto"/>
          <w:sz w:val="28"/>
          <w:szCs w:val="28"/>
          <w:highlight w:val="none"/>
        </w:rPr>
      </w:pPr>
    </w:p>
    <w:p w14:paraId="0DB89513">
      <w:pPr>
        <w:spacing w:line="720" w:lineRule="auto"/>
        <w:ind w:firstLine="1124" w:firstLineChars="4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 xml:space="preserve">乙  方： </w:t>
      </w:r>
      <w:r>
        <w:rPr>
          <w:rFonts w:hint="eastAsia" w:ascii="仿宋" w:hAnsi="仿宋" w:eastAsia="仿宋" w:cs="仿宋"/>
          <w:b/>
          <w:color w:val="auto"/>
          <w:sz w:val="28"/>
          <w:szCs w:val="28"/>
          <w:highlight w:val="none"/>
          <w:u w:val="single"/>
        </w:rPr>
        <w:t xml:space="preserve">                                </w:t>
      </w:r>
    </w:p>
    <w:p w14:paraId="2B7F01A3">
      <w:pPr>
        <w:spacing w:line="72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4E6751F0">
      <w:pPr>
        <w:adjustRightInd w:val="0"/>
        <w:snapToGrid w:val="0"/>
        <w:spacing w:line="336" w:lineRule="auto"/>
        <w:ind w:firstLine="420" w:firstLineChars="200"/>
        <w:rPr>
          <w:rFonts w:hint="eastAsia" w:ascii="仿宋" w:hAnsi="仿宋" w:eastAsia="仿宋" w:cs="仿宋"/>
          <w:b/>
          <w:color w:val="auto"/>
          <w:sz w:val="21"/>
          <w:szCs w:val="21"/>
          <w:highlight w:val="none"/>
          <w:u w:val="single"/>
        </w:rPr>
      </w:pPr>
      <w:r>
        <w:rPr>
          <w:rFonts w:hint="eastAsia"/>
          <w:color w:val="auto"/>
          <w:highlight w:val="none"/>
        </w:rPr>
        <w:br w:type="page"/>
      </w:r>
      <w:r>
        <w:rPr>
          <w:rFonts w:hint="eastAsia" w:ascii="仿宋" w:hAnsi="仿宋" w:eastAsia="仿宋" w:cs="仿宋"/>
          <w:b/>
          <w:color w:val="auto"/>
          <w:sz w:val="21"/>
          <w:szCs w:val="21"/>
          <w:highlight w:val="none"/>
        </w:rPr>
        <w:t>甲方（采购人）：</w:t>
      </w:r>
      <w:r>
        <w:rPr>
          <w:rFonts w:hint="eastAsia" w:ascii="仿宋" w:hAnsi="仿宋" w:eastAsia="仿宋" w:cs="仿宋"/>
          <w:b/>
          <w:color w:val="auto"/>
          <w:sz w:val="21"/>
          <w:szCs w:val="21"/>
          <w:highlight w:val="none"/>
          <w:u w:val="single"/>
        </w:rPr>
        <w:t xml:space="preserve">                </w:t>
      </w:r>
    </w:p>
    <w:p w14:paraId="3B197413">
      <w:pPr>
        <w:adjustRightInd w:val="0"/>
        <w:snapToGrid w:val="0"/>
        <w:spacing w:line="336" w:lineRule="auto"/>
        <w:ind w:firstLine="422" w:firstLineChars="200"/>
        <w:rPr>
          <w:rFonts w:hint="eastAsia" w:ascii="仿宋" w:hAnsi="仿宋" w:eastAsia="仿宋" w:cs="仿宋"/>
          <w:color w:val="auto"/>
          <w:sz w:val="21"/>
          <w:szCs w:val="21"/>
          <w:highlight w:val="none"/>
          <w:lang w:val="zh-CN"/>
        </w:rPr>
      </w:pPr>
      <w:r>
        <w:rPr>
          <w:rFonts w:hint="eastAsia" w:ascii="仿宋" w:hAnsi="仿宋" w:eastAsia="仿宋" w:cs="仿宋"/>
          <w:b/>
          <w:color w:val="auto"/>
          <w:sz w:val="21"/>
          <w:szCs w:val="21"/>
          <w:highlight w:val="none"/>
        </w:rPr>
        <w:t>乙方（中标供应商）：</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rPr>
        <w:t xml:space="preserve">                </w:t>
      </w:r>
      <w:r>
        <w:rPr>
          <w:rFonts w:hint="eastAsia" w:ascii="仿宋" w:hAnsi="仿宋" w:eastAsia="仿宋" w:cs="仿宋"/>
          <w:color w:val="auto"/>
          <w:sz w:val="21"/>
          <w:szCs w:val="21"/>
          <w:highlight w:val="none"/>
          <w:lang w:val="zh-CN"/>
        </w:rPr>
        <w:t xml:space="preserve">                                      </w:t>
      </w:r>
    </w:p>
    <w:p w14:paraId="3C30D583">
      <w:pPr>
        <w:spacing w:line="336"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依据《中华人民共和国民法典》及相关法律、法规之规定，甲、乙双方遵循平等、自愿、公平、公正和诚实信用的原则，就乙方向甲方提供服务相关事宜协商一致，签订本合同，双方共同遵照执行。</w:t>
      </w:r>
    </w:p>
    <w:p w14:paraId="1664D9DA">
      <w:pPr>
        <w:adjustRightInd w:val="0"/>
        <w:snapToGrid w:val="0"/>
        <w:spacing w:line="336" w:lineRule="auto"/>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一、项目概况</w:t>
      </w:r>
    </w:p>
    <w:p w14:paraId="486FD5D3">
      <w:pPr>
        <w:adjustRightInd w:val="0"/>
        <w:snapToGrid w:val="0"/>
        <w:spacing w:line="336" w:lineRule="auto"/>
        <w:ind w:firstLine="420" w:firstLineChars="200"/>
        <w:rPr>
          <w:rFonts w:hint="eastAsia" w:ascii="仿宋" w:hAnsi="仿宋" w:eastAsia="仿宋" w:cs="仿宋"/>
          <w:color w:val="auto"/>
          <w:sz w:val="21"/>
          <w:szCs w:val="21"/>
          <w:highlight w:val="none"/>
          <w:u w:val="single"/>
          <w:lang w:val="zh-CN"/>
        </w:rPr>
      </w:pPr>
      <w:r>
        <w:rPr>
          <w:rFonts w:hint="eastAsia" w:ascii="仿宋" w:hAnsi="仿宋" w:eastAsia="仿宋" w:cs="仿宋"/>
          <w:color w:val="auto"/>
          <w:sz w:val="21"/>
          <w:szCs w:val="21"/>
          <w:highlight w:val="none"/>
        </w:rPr>
        <w:t>（一）</w:t>
      </w:r>
      <w:r>
        <w:rPr>
          <w:rFonts w:hint="eastAsia" w:ascii="仿宋" w:hAnsi="仿宋" w:eastAsia="仿宋" w:cs="仿宋"/>
          <w:color w:val="auto"/>
          <w:sz w:val="21"/>
          <w:szCs w:val="21"/>
          <w:highlight w:val="none"/>
          <w:lang w:val="zh-CN"/>
        </w:rPr>
        <w:t>项目名称：</w:t>
      </w:r>
      <w:r>
        <w:rPr>
          <w:rFonts w:hint="eastAsia" w:ascii="仿宋" w:hAnsi="仿宋" w:eastAsia="仿宋" w:cs="仿宋"/>
          <w:color w:val="auto"/>
          <w:sz w:val="21"/>
          <w:szCs w:val="21"/>
          <w:highlight w:val="none"/>
          <w:u w:val="single"/>
          <w:lang w:val="zh-CN"/>
        </w:rPr>
        <w:t>“一区一策”研判分析及重点区域管控项目</w:t>
      </w:r>
    </w:p>
    <w:p w14:paraId="415A0478">
      <w:pPr>
        <w:adjustRightInd w:val="0"/>
        <w:snapToGrid w:val="0"/>
        <w:spacing w:line="336" w:lineRule="auto"/>
        <w:ind w:firstLine="420" w:firstLineChars="20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项目地点：</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p>
    <w:p w14:paraId="266FF1AB">
      <w:pPr>
        <w:adjustRightInd w:val="0"/>
        <w:snapToGrid w:val="0"/>
        <w:spacing w:line="336" w:lineRule="auto"/>
        <w:ind w:firstLine="420" w:firstLineChars="200"/>
        <w:rPr>
          <w:rFonts w:hint="eastAsia" w:ascii="仿宋" w:hAnsi="仿宋" w:eastAsia="仿宋" w:cs="仿宋"/>
          <w:color w:val="auto"/>
          <w:sz w:val="21"/>
          <w:szCs w:val="21"/>
          <w:highlight w:val="none"/>
          <w:u w:val="single"/>
          <w:lang w:val="zh-CN"/>
        </w:rPr>
      </w:pPr>
      <w:r>
        <w:rPr>
          <w:rFonts w:hint="eastAsia" w:ascii="仿宋" w:hAnsi="仿宋" w:eastAsia="仿宋" w:cs="仿宋"/>
          <w:color w:val="auto"/>
          <w:sz w:val="21"/>
          <w:szCs w:val="21"/>
          <w:highlight w:val="none"/>
        </w:rPr>
        <w:t>（三）项目履行时间：自合同签订之日起至</w:t>
      </w:r>
      <w:r>
        <w:rPr>
          <w:rFonts w:hint="eastAsia" w:ascii="仿宋" w:hAnsi="仿宋" w:eastAsia="仿宋" w:cs="仿宋"/>
          <w:color w:val="auto"/>
          <w:sz w:val="21"/>
          <w:szCs w:val="21"/>
          <w:highlight w:val="none"/>
          <w:u w:val="single"/>
        </w:rPr>
        <w:t>202</w:t>
      </w:r>
      <w:r>
        <w:rPr>
          <w:rFonts w:hint="eastAsia" w:ascii="仿宋" w:hAnsi="仿宋" w:eastAsia="仿宋" w:cs="仿宋"/>
          <w:color w:val="auto"/>
          <w:sz w:val="21"/>
          <w:szCs w:val="21"/>
          <w:highlight w:val="none"/>
          <w:u w:val="single"/>
          <w:lang w:val="en-US" w:eastAsia="zh-CN"/>
        </w:rPr>
        <w:t>6</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年</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12</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月</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31</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日。</w:t>
      </w:r>
    </w:p>
    <w:p w14:paraId="61C5D24B">
      <w:pPr>
        <w:adjustRightInd w:val="0"/>
        <w:snapToGrid w:val="0"/>
        <w:spacing w:line="336" w:lineRule="auto"/>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二、组成本合同的文件</w:t>
      </w:r>
    </w:p>
    <w:p w14:paraId="75BB6648">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（一）</w:t>
      </w:r>
      <w:r>
        <w:rPr>
          <w:rFonts w:hint="eastAsia" w:ascii="仿宋" w:hAnsi="仿宋" w:eastAsia="仿宋" w:cs="仿宋"/>
          <w:color w:val="auto"/>
          <w:sz w:val="21"/>
          <w:szCs w:val="21"/>
          <w:highlight w:val="none"/>
          <w:lang w:val="zh-CN"/>
        </w:rPr>
        <w:t>中标通知书、</w:t>
      </w:r>
      <w:r>
        <w:rPr>
          <w:rFonts w:hint="eastAsia" w:ascii="仿宋" w:hAnsi="仿宋" w:eastAsia="仿宋" w:cs="仿宋"/>
          <w:color w:val="auto"/>
          <w:sz w:val="21"/>
          <w:szCs w:val="21"/>
          <w:highlight w:val="none"/>
        </w:rPr>
        <w:t>投标文件</w:t>
      </w: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招标文件</w:t>
      </w:r>
      <w:r>
        <w:rPr>
          <w:rFonts w:hint="eastAsia" w:ascii="仿宋" w:hAnsi="仿宋" w:eastAsia="仿宋" w:cs="仿宋"/>
          <w:color w:val="auto"/>
          <w:sz w:val="21"/>
          <w:szCs w:val="21"/>
          <w:highlight w:val="none"/>
          <w:lang w:val="zh-CN"/>
        </w:rPr>
        <w:t>、澄清、补充文件（或委托书）；</w:t>
      </w:r>
    </w:p>
    <w:p w14:paraId="0A175F87">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（二）补充协议：</w:t>
      </w:r>
      <w:r>
        <w:rPr>
          <w:rFonts w:hint="eastAsia" w:ascii="仿宋" w:hAnsi="仿宋" w:eastAsia="仿宋" w:cs="仿宋"/>
          <w:color w:val="auto"/>
          <w:sz w:val="21"/>
          <w:szCs w:val="21"/>
          <w:highlight w:val="none"/>
          <w:lang w:val="zh-CN"/>
        </w:rPr>
        <w:t>本合同签订后，双方依法签订的补充协议也是本合同文件的组成部分。</w:t>
      </w:r>
    </w:p>
    <w:p w14:paraId="08D809DC">
      <w:pPr>
        <w:adjustRightInd w:val="0"/>
        <w:snapToGrid w:val="0"/>
        <w:spacing w:line="336" w:lineRule="auto"/>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三、</w:t>
      </w:r>
      <w:r>
        <w:rPr>
          <w:rFonts w:hint="eastAsia" w:ascii="仿宋" w:hAnsi="仿宋" w:eastAsia="仿宋" w:cs="仿宋"/>
          <w:b/>
          <w:bCs/>
          <w:color w:val="auto"/>
          <w:sz w:val="21"/>
          <w:szCs w:val="21"/>
          <w:highlight w:val="none"/>
        </w:rPr>
        <w:t>合同</w:t>
      </w:r>
      <w:r>
        <w:rPr>
          <w:rFonts w:hint="eastAsia" w:ascii="仿宋" w:hAnsi="仿宋" w:eastAsia="仿宋" w:cs="仿宋"/>
          <w:b/>
          <w:bCs/>
          <w:color w:val="auto"/>
          <w:sz w:val="21"/>
          <w:szCs w:val="21"/>
          <w:highlight w:val="none"/>
          <w:lang w:val="zh-CN"/>
        </w:rPr>
        <w:t>金额</w:t>
      </w:r>
    </w:p>
    <w:p w14:paraId="6D08D85B">
      <w:pPr>
        <w:adjustRightInd w:val="0"/>
        <w:snapToGrid w:val="0"/>
        <w:spacing w:line="336"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w:t>
      </w:r>
      <w:r>
        <w:rPr>
          <w:rFonts w:hint="eastAsia" w:ascii="仿宋" w:hAnsi="仿宋" w:eastAsia="仿宋" w:cs="仿宋"/>
          <w:color w:val="auto"/>
          <w:sz w:val="21"/>
          <w:szCs w:val="21"/>
          <w:highlight w:val="none"/>
          <w:lang w:val="zh-CN"/>
        </w:rPr>
        <w:t>金额（大写）：</w:t>
      </w:r>
      <w:r>
        <w:rPr>
          <w:rFonts w:hint="eastAsia" w:ascii="仿宋" w:hAnsi="仿宋" w:eastAsia="仿宋" w:cs="仿宋"/>
          <w:color w:val="auto"/>
          <w:sz w:val="21"/>
          <w:szCs w:val="21"/>
          <w:highlight w:val="none"/>
          <w:u w:val="single"/>
          <w:lang w:val="zh-CN"/>
        </w:rPr>
        <w:t xml:space="preserve">          （¥        ）</w:t>
      </w:r>
      <w:r>
        <w:rPr>
          <w:rFonts w:hint="eastAsia" w:ascii="仿宋" w:hAnsi="仿宋" w:eastAsia="仿宋" w:cs="仿宋"/>
          <w:color w:val="auto"/>
          <w:sz w:val="21"/>
          <w:szCs w:val="21"/>
          <w:highlight w:val="none"/>
        </w:rPr>
        <w:t>；</w:t>
      </w:r>
    </w:p>
    <w:p w14:paraId="4C2B8B6D">
      <w:pPr>
        <w:adjustRightInd w:val="0"/>
        <w:snapToGrid w:val="0"/>
        <w:spacing w:line="336"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合同总价即</w:t>
      </w:r>
      <w:r>
        <w:rPr>
          <w:rFonts w:hint="eastAsia" w:ascii="仿宋" w:hAnsi="仿宋" w:eastAsia="仿宋" w:cs="仿宋"/>
          <w:color w:val="auto"/>
          <w:sz w:val="21"/>
          <w:szCs w:val="21"/>
          <w:highlight w:val="none"/>
        </w:rPr>
        <w:t>中标</w:t>
      </w:r>
      <w:r>
        <w:rPr>
          <w:rFonts w:hint="eastAsia" w:ascii="仿宋" w:hAnsi="仿宋" w:eastAsia="仿宋" w:cs="仿宋"/>
          <w:color w:val="auto"/>
          <w:sz w:val="21"/>
          <w:szCs w:val="21"/>
          <w:highlight w:val="none"/>
          <w:lang w:val="zh-CN"/>
        </w:rPr>
        <w:t>价，为一次性报价，不受市场价变化或实际工作量变化的影响。合同价格为含税价。</w:t>
      </w:r>
    </w:p>
    <w:p w14:paraId="206A1790">
      <w:pPr>
        <w:widowControl/>
        <w:adjustRightInd w:val="0"/>
        <w:snapToGrid w:val="0"/>
        <w:spacing w:line="336"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zh-CN"/>
        </w:rPr>
        <w:t>四、</w:t>
      </w:r>
      <w:r>
        <w:rPr>
          <w:rFonts w:hint="eastAsia" w:ascii="仿宋" w:hAnsi="仿宋" w:eastAsia="仿宋" w:cs="仿宋"/>
          <w:b/>
          <w:bCs/>
          <w:color w:val="auto"/>
          <w:sz w:val="21"/>
          <w:szCs w:val="21"/>
          <w:highlight w:val="none"/>
        </w:rPr>
        <w:t>工作内容</w:t>
      </w:r>
    </w:p>
    <w:p w14:paraId="2DE3DE0D">
      <w:pPr>
        <w:widowControl/>
        <w:adjustRightInd w:val="0"/>
        <w:snapToGrid w:val="0"/>
        <w:spacing w:line="336" w:lineRule="auto"/>
        <w:ind w:firstLine="481"/>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甲方委托乙方进行技术服务的内容如下：</w:t>
      </w:r>
    </w:p>
    <w:p w14:paraId="3AE52276">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（一）利用便携式PM2.5、PM10、VOCs等检测设备对污染源进行精细化排查，精准定位污染源。</w:t>
      </w:r>
    </w:p>
    <w:p w14:paraId="6B8C7E25">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（二）实时进行大气污染数据分析、研判和现场核查，24小时实时监控空气质量变化情况，及时提供针对性管控建议。</w:t>
      </w:r>
    </w:p>
    <w:p w14:paraId="0BBD0781">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（三）预测预警未来一周的大气扩散条件变化情况，分析研判大气污染形势和空气质量情况。</w:t>
      </w:r>
    </w:p>
    <w:p w14:paraId="4DAF98E7">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四</w:t>
      </w:r>
      <w:r>
        <w:rPr>
          <w:rFonts w:hint="eastAsia" w:ascii="仿宋" w:hAnsi="仿宋" w:eastAsia="仿宋" w:cs="仿宋"/>
          <w:color w:val="auto"/>
          <w:sz w:val="21"/>
          <w:szCs w:val="21"/>
          <w:highlight w:val="none"/>
          <w:lang w:val="zh-CN"/>
        </w:rPr>
        <w:t>）针对高新区重点区域工业企业、道路扬尘、工地扬尘、汽修、餐饮油烟等污染源进行排查，实现对污染源持续跟踪，排查重点区域周边3公里范围内的污染源，动态更新区域污染源分布地图。</w:t>
      </w:r>
    </w:p>
    <w:p w14:paraId="5D5E6245">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五</w:t>
      </w:r>
      <w:r>
        <w:rPr>
          <w:rFonts w:hint="eastAsia" w:ascii="仿宋" w:hAnsi="仿宋" w:eastAsia="仿宋" w:cs="仿宋"/>
          <w:color w:val="auto"/>
          <w:sz w:val="21"/>
          <w:szCs w:val="21"/>
          <w:highlight w:val="none"/>
          <w:lang w:val="zh-CN"/>
        </w:rPr>
        <w:t>）实时分析高新区臭氧和氮氧化物污染特征，根据污染情况，分析其臭氧污染成因，减少挥发性有机物和氮氧化物生成，促进环境空气质量持续改善。</w:t>
      </w:r>
    </w:p>
    <w:p w14:paraId="216F2473">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六</w:t>
      </w:r>
      <w:r>
        <w:rPr>
          <w:rFonts w:hint="eastAsia" w:ascii="仿宋" w:hAnsi="仿宋" w:eastAsia="仿宋" w:cs="仿宋"/>
          <w:color w:val="auto"/>
          <w:sz w:val="21"/>
          <w:szCs w:val="21"/>
          <w:highlight w:val="none"/>
          <w:lang w:val="zh-CN"/>
        </w:rPr>
        <w:t>）秋冬防期间，根据实时空气质量数据、湿度、风力、风向、和温度等气象数据，及时对污染过程进行分析研判，对重污染成因进行分析，提出污染源管控建议，做到削峰减值，预警过后及时进行总结分析，形成预警分析报告。</w:t>
      </w:r>
    </w:p>
    <w:p w14:paraId="40678742">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七</w:t>
      </w:r>
      <w:r>
        <w:rPr>
          <w:rFonts w:hint="eastAsia" w:ascii="仿宋" w:hAnsi="仿宋" w:eastAsia="仿宋" w:cs="仿宋"/>
          <w:color w:val="auto"/>
          <w:sz w:val="21"/>
          <w:szCs w:val="21"/>
          <w:highlight w:val="none"/>
          <w:lang w:val="zh-CN"/>
        </w:rPr>
        <w:t>）根据中、省、市政策及要求，指导开展涉VOCs重点行业企业基础信息调查、分析、统计、整治帮扶等相关工作。</w:t>
      </w:r>
    </w:p>
    <w:p w14:paraId="3C9ACBDF">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八</w:t>
      </w:r>
      <w:r>
        <w:rPr>
          <w:rFonts w:hint="eastAsia" w:ascii="仿宋" w:hAnsi="仿宋" w:eastAsia="仿宋" w:cs="仿宋"/>
          <w:color w:val="auto"/>
          <w:sz w:val="21"/>
          <w:szCs w:val="21"/>
          <w:highlight w:val="none"/>
          <w:lang w:val="zh-CN"/>
        </w:rPr>
        <w:t>）根据中、省、市政策及要求，按要求进行秋冬季重污染天气应急减排清单相关指导工作。</w:t>
      </w:r>
    </w:p>
    <w:p w14:paraId="7158DACB">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九</w:t>
      </w:r>
      <w:r>
        <w:rPr>
          <w:rFonts w:hint="eastAsia" w:ascii="仿宋" w:hAnsi="仿宋" w:eastAsia="仿宋" w:cs="仿宋"/>
          <w:color w:val="auto"/>
          <w:sz w:val="21"/>
          <w:szCs w:val="21"/>
          <w:highlight w:val="none"/>
          <w:lang w:val="zh-CN"/>
        </w:rPr>
        <w:t>）根据政策要求指导企业绩效评级申报、企业和工程的保障类申报等相关工作。</w:t>
      </w:r>
    </w:p>
    <w:p w14:paraId="0FF23735">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zh-CN"/>
        </w:rPr>
        <w:t>）全年空气质量进行分析，结合大气污染防治存在的各项问题，制定次年高新区大气污染防治工作计划，提出各项科学防治建议。</w:t>
      </w:r>
    </w:p>
    <w:p w14:paraId="5475DC04">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十一</w:t>
      </w:r>
      <w:r>
        <w:rPr>
          <w:rFonts w:hint="eastAsia" w:ascii="仿宋" w:hAnsi="仿宋" w:eastAsia="仿宋" w:cs="仿宋"/>
          <w:color w:val="auto"/>
          <w:sz w:val="21"/>
          <w:szCs w:val="21"/>
          <w:highlight w:val="none"/>
          <w:lang w:val="zh-CN"/>
        </w:rPr>
        <w:t>）依据中、省、市和高新区政策及要求，配合开展大气污染防治相关工作，全面配合工作过程中的数据收集、应急调度、协调处置等工作要求。</w:t>
      </w:r>
    </w:p>
    <w:p w14:paraId="2C371926">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十二</w:t>
      </w:r>
      <w:r>
        <w:rPr>
          <w:rFonts w:hint="eastAsia" w:ascii="仿宋" w:hAnsi="仿宋" w:eastAsia="仿宋" w:cs="仿宋"/>
          <w:color w:val="auto"/>
          <w:sz w:val="21"/>
          <w:szCs w:val="21"/>
          <w:highlight w:val="none"/>
          <w:lang w:val="zh-CN"/>
        </w:rPr>
        <w:t>）对区域污染状况进行六参数走航，对不同时段污染源扩散路径进行分析，为时空变化规律提供有效的科学依据，建立污染快速溯源解析能力。</w:t>
      </w:r>
    </w:p>
    <w:p w14:paraId="676B3431">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十三</w:t>
      </w:r>
      <w:r>
        <w:rPr>
          <w:rFonts w:hint="eastAsia" w:ascii="仿宋" w:hAnsi="仿宋" w:eastAsia="仿宋" w:cs="仿宋"/>
          <w:color w:val="auto"/>
          <w:sz w:val="21"/>
          <w:szCs w:val="21"/>
          <w:highlight w:val="none"/>
          <w:lang w:val="zh-CN"/>
        </w:rPr>
        <w:t>）重点区域搭建固定式雷达扫描监测系统，全天不间断水平扫描，监测污染源排放情况，获取区域大气污染源排放规律。</w:t>
      </w:r>
    </w:p>
    <w:p w14:paraId="76CA854B">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十四</w:t>
      </w:r>
      <w:r>
        <w:rPr>
          <w:rFonts w:hint="eastAsia" w:ascii="仿宋" w:hAnsi="仿宋" w:eastAsia="仿宋" w:cs="仿宋"/>
          <w:color w:val="auto"/>
          <w:sz w:val="21"/>
          <w:szCs w:val="21"/>
          <w:highlight w:val="none"/>
          <w:lang w:val="zh-CN"/>
        </w:rPr>
        <w:t>）基于道路积尘负荷走航监测等高科技设备，实时分析评估颗粒物污染高值路段，进而采取精准有效的抑尘作业。</w:t>
      </w:r>
    </w:p>
    <w:p w14:paraId="76C74216">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lang w:val="en-US" w:eastAsia="zh-CN"/>
        </w:rPr>
        <w:t>十五</w:t>
      </w:r>
      <w:r>
        <w:rPr>
          <w:rFonts w:hint="eastAsia" w:ascii="仿宋" w:hAnsi="仿宋" w:eastAsia="仿宋" w:cs="仿宋"/>
          <w:color w:val="auto"/>
          <w:sz w:val="21"/>
          <w:szCs w:val="21"/>
          <w:highlight w:val="none"/>
          <w:lang w:val="zh-CN"/>
        </w:rPr>
        <w:t>）利用无人机进行飞行监测，准确掌握大气污染物的立体分布状况，实现大气污染源监控，实现对区域内点源、线源、面源等污染源的精准监控。</w:t>
      </w:r>
    </w:p>
    <w:p w14:paraId="75618887">
      <w:pPr>
        <w:widowControl/>
        <w:adjustRightInd w:val="0"/>
        <w:snapToGrid w:val="0"/>
        <w:spacing w:line="336" w:lineRule="auto"/>
        <w:rPr>
          <w:rFonts w:hint="eastAsia" w:ascii="仿宋" w:hAnsi="仿宋" w:eastAsia="仿宋" w:cs="仿宋"/>
          <w:color w:val="auto"/>
          <w:sz w:val="21"/>
          <w:szCs w:val="21"/>
          <w:highlight w:val="none"/>
          <w:lang w:val="zh-CN"/>
        </w:rPr>
      </w:pPr>
      <w:r>
        <w:rPr>
          <w:rFonts w:hint="eastAsia" w:ascii="仿宋" w:hAnsi="仿宋" w:eastAsia="仿宋" w:cs="仿宋"/>
          <w:b/>
          <w:bCs/>
          <w:color w:val="auto"/>
          <w:sz w:val="21"/>
          <w:szCs w:val="21"/>
          <w:highlight w:val="none"/>
        </w:rPr>
        <w:t>五、</w:t>
      </w:r>
      <w:r>
        <w:rPr>
          <w:rFonts w:hint="eastAsia" w:ascii="仿宋" w:hAnsi="仿宋" w:eastAsia="仿宋" w:cs="仿宋"/>
          <w:b/>
          <w:bCs/>
          <w:color w:val="auto"/>
          <w:sz w:val="21"/>
          <w:szCs w:val="21"/>
          <w:highlight w:val="none"/>
          <w:lang w:val="zh-CN"/>
        </w:rPr>
        <w:t>结算方式</w:t>
      </w:r>
    </w:p>
    <w:p w14:paraId="2E1CB4FC">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（一）</w:t>
      </w:r>
      <w:r>
        <w:rPr>
          <w:rFonts w:hint="eastAsia" w:ascii="仿宋" w:hAnsi="仿宋" w:eastAsia="仿宋" w:cs="仿宋"/>
          <w:color w:val="auto"/>
          <w:sz w:val="21"/>
          <w:szCs w:val="21"/>
          <w:highlight w:val="none"/>
          <w:lang w:val="zh-CN"/>
        </w:rPr>
        <w:t>付款方式</w:t>
      </w:r>
    </w:p>
    <w:p w14:paraId="34BA34C1">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项目</w:t>
      </w:r>
      <w:r>
        <w:rPr>
          <w:rFonts w:hint="eastAsia" w:ascii="仿宋" w:hAnsi="仿宋" w:eastAsia="仿宋" w:cs="仿宋"/>
          <w:color w:val="auto"/>
          <w:sz w:val="21"/>
          <w:szCs w:val="21"/>
          <w:highlight w:val="none"/>
          <w:lang w:eastAsia="zh-CN"/>
        </w:rPr>
        <w:t>自签订合同之日起</w:t>
      </w:r>
      <w:r>
        <w:rPr>
          <w:rFonts w:hint="eastAsia" w:ascii="仿宋" w:hAnsi="仿宋" w:eastAsia="仿宋" w:cs="仿宋"/>
          <w:color w:val="auto"/>
          <w:sz w:val="21"/>
          <w:szCs w:val="21"/>
          <w:highlight w:val="none"/>
        </w:rPr>
        <w:t>进入服务期，</w:t>
      </w:r>
      <w:r>
        <w:rPr>
          <w:rFonts w:hint="eastAsia" w:ascii="仿宋" w:hAnsi="仿宋" w:eastAsia="仿宋" w:cs="仿宋"/>
          <w:color w:val="auto"/>
          <w:sz w:val="21"/>
          <w:szCs w:val="21"/>
          <w:highlight w:val="none"/>
          <w:lang w:val="zh-CN"/>
        </w:rPr>
        <w:t>合同签订后支付</w:t>
      </w:r>
      <w:r>
        <w:rPr>
          <w:rFonts w:hint="eastAsia" w:ascii="仿宋" w:hAnsi="仿宋" w:eastAsia="仿宋" w:cs="仿宋"/>
          <w:color w:val="auto"/>
          <w:sz w:val="21"/>
          <w:szCs w:val="21"/>
          <w:highlight w:val="none"/>
        </w:rPr>
        <w:t>服务费用的</w:t>
      </w:r>
      <w:r>
        <w:rPr>
          <w:rFonts w:hint="eastAsia" w:ascii="仿宋" w:hAnsi="仿宋" w:eastAsia="仿宋" w:cs="仿宋"/>
          <w:color w:val="auto"/>
          <w:sz w:val="21"/>
          <w:szCs w:val="21"/>
          <w:highlight w:val="none"/>
          <w:lang w:val="zh-CN"/>
        </w:rPr>
        <w:t>40%作为预付款（</w:t>
      </w:r>
      <w:r>
        <w:rPr>
          <w:rFonts w:hint="eastAsia" w:ascii="仿宋" w:hAnsi="仿宋" w:eastAsia="仿宋" w:cs="仿宋"/>
          <w:color w:val="auto"/>
          <w:sz w:val="21"/>
          <w:szCs w:val="21"/>
          <w:highlight w:val="none"/>
        </w:rPr>
        <w:t>即大写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元，小写：¥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lang w:eastAsia="zh-CN"/>
        </w:rPr>
        <w:t>服务至</w:t>
      </w:r>
      <w:r>
        <w:rPr>
          <w:rFonts w:hint="eastAsia" w:ascii="仿宋" w:hAnsi="仿宋" w:eastAsia="仿宋" w:cs="仿宋"/>
          <w:color w:val="auto"/>
          <w:sz w:val="21"/>
          <w:szCs w:val="21"/>
          <w:highlight w:val="none"/>
          <w:lang w:val="en-US" w:eastAsia="zh-CN"/>
        </w:rPr>
        <w:t>9月底进行中期考核，考核通过后支付</w:t>
      </w:r>
      <w:r>
        <w:rPr>
          <w:rFonts w:hint="eastAsia" w:ascii="仿宋" w:hAnsi="仿宋" w:eastAsia="仿宋" w:cs="仿宋"/>
          <w:color w:val="auto"/>
          <w:sz w:val="21"/>
          <w:szCs w:val="21"/>
          <w:highlight w:val="none"/>
        </w:rPr>
        <w:t>服务费的</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zh-CN"/>
        </w:rPr>
        <w:t>0%（</w:t>
      </w:r>
      <w:r>
        <w:rPr>
          <w:rFonts w:hint="eastAsia" w:ascii="仿宋" w:hAnsi="仿宋" w:eastAsia="仿宋" w:cs="仿宋"/>
          <w:color w:val="auto"/>
          <w:sz w:val="21"/>
          <w:szCs w:val="21"/>
          <w:highlight w:val="none"/>
        </w:rPr>
        <w:t>即大写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元，小写：¥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lang w:val="zh-CN"/>
        </w:rPr>
        <w:t>）；</w:t>
      </w:r>
      <w:r>
        <w:rPr>
          <w:rFonts w:hint="eastAsia" w:ascii="仿宋" w:hAnsi="仿宋" w:eastAsia="仿宋" w:cs="仿宋"/>
          <w:color w:val="auto"/>
          <w:sz w:val="21"/>
          <w:szCs w:val="21"/>
          <w:highlight w:val="none"/>
        </w:rPr>
        <w:t>服务期满</w:t>
      </w:r>
      <w:r>
        <w:rPr>
          <w:rFonts w:hint="eastAsia" w:ascii="仿宋" w:hAnsi="仿宋" w:eastAsia="仿宋" w:cs="仿宋"/>
          <w:color w:val="auto"/>
          <w:sz w:val="21"/>
          <w:szCs w:val="21"/>
          <w:highlight w:val="none"/>
          <w:lang w:eastAsia="zh-CN"/>
        </w:rPr>
        <w:t>后，</w:t>
      </w:r>
      <w:r>
        <w:rPr>
          <w:rFonts w:hint="eastAsia" w:ascii="仿宋" w:hAnsi="仿宋" w:eastAsia="仿宋" w:cs="仿宋"/>
          <w:color w:val="auto"/>
          <w:sz w:val="21"/>
          <w:szCs w:val="21"/>
          <w:highlight w:val="none"/>
        </w:rPr>
        <w:t>项目通过验收后依据考核结果支付剩余服务费用。</w:t>
      </w:r>
    </w:p>
    <w:p w14:paraId="63ECBCF4">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支付方式：采取银行转账方式支付。付款前，乙方须按照甲方要求提供等额增值税普通发票。</w:t>
      </w:r>
    </w:p>
    <w:p w14:paraId="1CB92A3D">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（三）</w:t>
      </w:r>
      <w:r>
        <w:rPr>
          <w:rFonts w:hint="eastAsia" w:ascii="仿宋" w:hAnsi="仿宋" w:eastAsia="仿宋" w:cs="仿宋"/>
          <w:color w:val="auto"/>
          <w:sz w:val="21"/>
          <w:szCs w:val="21"/>
          <w:highlight w:val="none"/>
          <w:lang w:val="zh-CN"/>
        </w:rPr>
        <w:t>甲方发票抬头信息</w:t>
      </w:r>
    </w:p>
    <w:p w14:paraId="22B46C34">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名称：</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bookmarkStart w:id="0" w:name="_GoBack"/>
      <w:bookmarkEnd w:id="0"/>
    </w:p>
    <w:p w14:paraId="3F1B47C1">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开户行：</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p>
    <w:p w14:paraId="7FC2C7EA">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账户：</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lang w:val="zh-CN"/>
        </w:rPr>
        <w:t xml:space="preserve">                            </w:t>
      </w:r>
    </w:p>
    <w:p w14:paraId="6D763A99">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行号：</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p>
    <w:p w14:paraId="2E4D6226">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（四）</w:t>
      </w:r>
      <w:r>
        <w:rPr>
          <w:rFonts w:hint="eastAsia" w:ascii="仿宋" w:hAnsi="仿宋" w:eastAsia="仿宋" w:cs="仿宋"/>
          <w:color w:val="auto"/>
          <w:sz w:val="21"/>
          <w:szCs w:val="21"/>
          <w:highlight w:val="none"/>
          <w:lang w:val="zh-CN"/>
        </w:rPr>
        <w:t>乙方指定收款账户</w:t>
      </w:r>
    </w:p>
    <w:p w14:paraId="0D0DBDF1">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名称：</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p>
    <w:p w14:paraId="74E6094C">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开户行：</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p>
    <w:p w14:paraId="3A4A537F">
      <w:pPr>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银行账号：</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 xml:space="preserve">                              </w:t>
      </w:r>
    </w:p>
    <w:p w14:paraId="21495450">
      <w:pPr>
        <w:adjustRightInd w:val="0"/>
        <w:snapToGrid w:val="0"/>
        <w:spacing w:line="336"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六、验收与考核</w:t>
      </w:r>
    </w:p>
    <w:p w14:paraId="1F18CF0D">
      <w:pPr>
        <w:widowControl/>
        <w:adjustRightInd w:val="0"/>
        <w:snapToGrid w:val="0"/>
        <w:spacing w:line="336" w:lineRule="auto"/>
        <w:jc w:val="left"/>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 xml:space="preserve">    </w:t>
      </w:r>
      <w:r>
        <w:rPr>
          <w:rFonts w:hint="eastAsia" w:ascii="仿宋" w:hAnsi="仿宋" w:eastAsia="仿宋" w:cs="仿宋"/>
          <w:b w:val="0"/>
          <w:bCs w:val="0"/>
          <w:color w:val="auto"/>
          <w:sz w:val="21"/>
          <w:szCs w:val="21"/>
          <w:highlight w:val="none"/>
          <w:lang w:val="en-US" w:eastAsia="zh-CN"/>
        </w:rPr>
        <w:t>（一）验收:乙方按要求完成规定的各项服务内容，提交相应技术成果，由甲方组织专家对乙方承担的服务效果进行评估。</w:t>
      </w:r>
    </w:p>
    <w:p w14:paraId="5A178F62">
      <w:pPr>
        <w:widowControl/>
        <w:adjustRightInd w:val="0"/>
        <w:snapToGrid w:val="0"/>
        <w:spacing w:line="336" w:lineRule="auto"/>
        <w:ind w:firstLine="420" w:firstLineChars="200"/>
        <w:jc w:val="left"/>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（二）考核：依据西安市各区县开发区PM10、PM2.5、臭氧等参数绝对值排名进行考核。</w:t>
      </w:r>
    </w:p>
    <w:p w14:paraId="323D1F8B">
      <w:pPr>
        <w:widowControl/>
        <w:adjustRightInd w:val="0"/>
        <w:snapToGrid w:val="0"/>
        <w:spacing w:line="336"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七</w:t>
      </w:r>
      <w:r>
        <w:rPr>
          <w:rFonts w:hint="eastAsia" w:ascii="仿宋" w:hAnsi="仿宋" w:eastAsia="仿宋" w:cs="仿宋"/>
          <w:b/>
          <w:bCs/>
          <w:color w:val="auto"/>
          <w:sz w:val="21"/>
          <w:szCs w:val="21"/>
          <w:highlight w:val="none"/>
          <w:lang w:val="zh-CN"/>
        </w:rPr>
        <w:t>、</w:t>
      </w:r>
      <w:r>
        <w:rPr>
          <w:rFonts w:hint="eastAsia" w:ascii="仿宋" w:hAnsi="仿宋" w:eastAsia="仿宋" w:cs="仿宋"/>
          <w:b/>
          <w:bCs/>
          <w:color w:val="auto"/>
          <w:sz w:val="21"/>
          <w:szCs w:val="21"/>
          <w:highlight w:val="none"/>
        </w:rPr>
        <w:t>保密条款</w:t>
      </w:r>
    </w:p>
    <w:p w14:paraId="221531E8">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为保守甲方商业秘密，维护甲方权益, 乙方接受本协议全部条款, 保证无条件严格遵守。</w:t>
      </w:r>
    </w:p>
    <w:p w14:paraId="690D0E20">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（一）商业秘密的定义</w:t>
      </w:r>
    </w:p>
    <w:p w14:paraId="39C44EE7">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本合同提及的商业秘密，是指甲方及其他有关部门所持有的，以任何形式向乙方提供的不为甲方外部人员所知悉，能为甲方带来商业及其他利益的所有信息，包括且不限于： </w:t>
      </w:r>
    </w:p>
    <w:p w14:paraId="00D30B39">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甲方管理信息，包括甲方组织结构、规章制度、各项细则、人事资料、奖惩措施文件等。</w:t>
      </w:r>
    </w:p>
    <w:p w14:paraId="54FFC912">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甲方数据信息，包括甲方的各项业务数据、各类请示报告、巡查检查信息等。</w:t>
      </w:r>
    </w:p>
    <w:p w14:paraId="55410998">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甲方承诺有保密义务的商业秘密信息。 </w:t>
      </w:r>
    </w:p>
    <w:p w14:paraId="2083BF7C">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甲方《保密工作规定》规定的其它保密事项。</w:t>
      </w:r>
    </w:p>
    <w:p w14:paraId="3730B00C">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（二）保密义务和责任</w:t>
      </w:r>
    </w:p>
    <w:p w14:paraId="17A353F8">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乙方必须遵守甲方规定的任何成文或不成文的保密规定，履行与其服务或工作内容相应的保密职责。甲方的《保密工作规定》没有规定或者规定不明确之处，乙方亦应本着谨慎、诚实的态度，保守甲方商业秘密。</w:t>
      </w:r>
    </w:p>
    <w:p w14:paraId="696F3B93">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除了履行职责的需要之外，乙方承诺，未经甲方同意，不得以任何方式，使任何第三方知悉商业秘密信息，也不得使用这些信息。</w:t>
      </w:r>
    </w:p>
    <w:p w14:paraId="4844651C">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乙方合同到期之后仍对在合同履行期间知悉的商业秘密信息，承担保密义务和不擅自使用的义务。</w:t>
      </w:r>
    </w:p>
    <w:p w14:paraId="6CE4087F">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乙方承诺在合同期间，非经甲方事先同意，不得以甲方名义向其他单位或企业提供同类服务。</w:t>
      </w:r>
    </w:p>
    <w:p w14:paraId="08925919">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乙方在合同期间，因工作需要所持有或保管的一切记录着甲方秘密信息的文件，均归甲方所有。</w:t>
      </w:r>
    </w:p>
    <w:p w14:paraId="69AF6E66">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甲方的依法所具有的知识产权，属甲方所有。 </w:t>
      </w:r>
    </w:p>
    <w:p w14:paraId="53217FB8">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（三）例外约定</w:t>
      </w:r>
    </w:p>
    <w:p w14:paraId="4F453582">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甲方同意上述条款不适用于下述情形：</w:t>
      </w:r>
    </w:p>
    <w:p w14:paraId="628280AA">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1、该商业秘密已经变成普通大众可以获取的资料；</w:t>
      </w:r>
    </w:p>
    <w:p w14:paraId="1A533CB5">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2、能书面证明乙方从甲方收到资料之前已经熟知该资料；</w:t>
      </w:r>
    </w:p>
    <w:p w14:paraId="4C878844">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3、由甲方提供给乙方并同意乙方公示的资料。</w:t>
      </w:r>
    </w:p>
    <w:p w14:paraId="348DE7CE">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（四）返还信息</w:t>
      </w:r>
    </w:p>
    <w:p w14:paraId="658D8AAF">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应当于合同到期当日，或者于甲方提出要求时，立即归还全部商业秘密文件及材料，包括复印件或摘要。如果该资料属于不能归还的形式，或已经复制或转录到其他资料或载体中，则应删除、销毁或按甲方要求做相应处理。</w:t>
      </w:r>
    </w:p>
    <w:p w14:paraId="3CEE0AE6">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（五）保密期限</w:t>
      </w:r>
    </w:p>
    <w:p w14:paraId="63BB3396">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1、合同到期后，乙方承担保密义务的期限为下列第 A 种：</w:t>
      </w:r>
    </w:p>
    <w:p w14:paraId="6138E4E6">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A.无限期保密，直至甲方宣布解密或者秘密信息实际上已经公开。</w:t>
      </w:r>
    </w:p>
    <w:p w14:paraId="102ADE3F">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B.有限期保密，保密期限自合同到期之日起 3 年。</w:t>
      </w:r>
    </w:p>
    <w:p w14:paraId="6A0EB171">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2、甲方无需支付保密费，乙方对此表示认可。</w:t>
      </w:r>
    </w:p>
    <w:p w14:paraId="11D20732">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（六）争议解决</w:t>
      </w:r>
    </w:p>
    <w:p w14:paraId="315A7EC9">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乙方违反本合同约定，但未造成严重后果及经济损失的，将受到甲方警告或被甲方无条件解除合同，同时乙方应当一次性向甲方支付合同总价</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‰的违约金。</w:t>
      </w:r>
    </w:p>
    <w:p w14:paraId="041080EC">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乙方的违约行为给甲方造成损失的，甲方有权立即解除与乙方的合同关系，乙方应当支付合同总价</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‰的违约金，同时承担赔偿责任，赔偿额以甲方全部损失为准。</w:t>
      </w:r>
    </w:p>
    <w:p w14:paraId="390FE331">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上述约定不影响甲方请求有关部门对侵权行为进行处理。</w:t>
      </w:r>
    </w:p>
    <w:p w14:paraId="105A77AA">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给甲方造成重大经济损失的，依法追究乙方赔偿责任。</w:t>
      </w:r>
    </w:p>
    <w:p w14:paraId="2E3D4989">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（七）其它</w:t>
      </w:r>
    </w:p>
    <w:p w14:paraId="243E609A">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1、本协议是甲乙双方签订的项目合同的组成部分。</w:t>
      </w:r>
    </w:p>
    <w:p w14:paraId="769699E6">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2、本协议自双方签字并盖章之日起生效，并不因双方合同到期而失效。</w:t>
      </w:r>
    </w:p>
    <w:p w14:paraId="6A727D03">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3、其它未尽事宜遵照甲方《保密工作规定》。</w:t>
      </w:r>
    </w:p>
    <w:p w14:paraId="3AA7B685">
      <w:pPr>
        <w:widowControl/>
        <w:adjustRightInd w:val="0"/>
        <w:snapToGrid w:val="0"/>
        <w:spacing w:line="336"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八、合同变更</w:t>
      </w:r>
    </w:p>
    <w:p w14:paraId="198D3DC8">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本合同的变更必须由双方协商一致，并以书面形式确定。但有下列情形之一的，一方可以向另一方书面提出变更合同的请求，另一方应当在 7 日内予以书面答复；逾期未予答复的，视为同意：</w:t>
      </w:r>
    </w:p>
    <w:p w14:paraId="09FEAB9A">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（一）出现甲方或乙方不可抗力的情况，但仍然希望执行合同的；</w:t>
      </w:r>
    </w:p>
    <w:p w14:paraId="2B6C777C">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（二）因不可抗力因素导致未能完成规定的服务期限，需要延长执行期限的。</w:t>
      </w:r>
    </w:p>
    <w:p w14:paraId="0189800C">
      <w:pPr>
        <w:widowControl/>
        <w:adjustRightInd w:val="0"/>
        <w:snapToGrid w:val="0"/>
        <w:spacing w:line="336"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九、双方确定</w:t>
      </w:r>
    </w:p>
    <w:p w14:paraId="21CF719E">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（一）在本合同有效期内，甲方为乙方提供必要的工作条件、大气污染源的基本信息，协调高新区内各职能部门、属地、企事业单位支持乙方开展工作、协助乙方完成大气污染源调查管理的工作。</w:t>
      </w:r>
    </w:p>
    <w:p w14:paraId="31AB6464">
      <w:pPr>
        <w:widowControl/>
        <w:adjustRightInd w:val="0"/>
        <w:snapToGrid w:val="0"/>
        <w:spacing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（二）在合同有效期内，乙方利用甲方提供的技术资料和工作条件，所完成的新的技术成果，归甲方所有。</w:t>
      </w:r>
    </w:p>
    <w:p w14:paraId="109C7BF2">
      <w:pPr>
        <w:widowControl/>
        <w:adjustRightInd w:val="0"/>
        <w:snapToGrid w:val="0"/>
        <w:spacing w:line="336" w:lineRule="auto"/>
        <w:jc w:val="left"/>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rPr>
        <w:t>十</w:t>
      </w:r>
      <w:r>
        <w:rPr>
          <w:rFonts w:hint="eastAsia" w:ascii="仿宋" w:hAnsi="仿宋" w:eastAsia="仿宋" w:cs="仿宋"/>
          <w:b/>
          <w:bCs/>
          <w:color w:val="auto"/>
          <w:sz w:val="21"/>
          <w:szCs w:val="21"/>
          <w:highlight w:val="none"/>
          <w:lang w:val="zh-CN"/>
        </w:rPr>
        <w:t>、合同解除</w:t>
      </w:r>
    </w:p>
    <w:p w14:paraId="0CCFBA71">
      <w:pPr>
        <w:widowControl/>
        <w:spacing w:line="336"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双方确定，出现下列情形，致使本合同的履行成为不必要或不可能的，可以解除本合同：</w:t>
      </w:r>
    </w:p>
    <w:p w14:paraId="1B8A2CF0">
      <w:pPr>
        <w:widowControl/>
        <w:spacing w:line="336"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（一）发生不可抗力因素；</w:t>
      </w:r>
    </w:p>
    <w:p w14:paraId="236EC98E">
      <w:pPr>
        <w:widowControl/>
        <w:spacing w:line="336" w:lineRule="auto"/>
        <w:ind w:firstLine="420" w:firstLineChars="200"/>
        <w:rPr>
          <w:rFonts w:hint="eastAsia" w:ascii="仿宋" w:hAnsi="仿宋" w:eastAsia="仿宋" w:cs="仿宋"/>
          <w:b/>
          <w:bCs/>
          <w:color w:val="auto"/>
          <w:sz w:val="21"/>
          <w:szCs w:val="21"/>
          <w:highlight w:val="none"/>
          <w:lang w:val="zh-CN"/>
        </w:rPr>
      </w:pPr>
      <w:r>
        <w:rPr>
          <w:rFonts w:hint="eastAsia" w:ascii="仿宋" w:hAnsi="仿宋" w:eastAsia="仿宋" w:cs="仿宋"/>
          <w:color w:val="auto"/>
          <w:sz w:val="21"/>
          <w:szCs w:val="21"/>
          <w:highlight w:val="none"/>
        </w:rPr>
        <w:t>（二）双方协商一致解除本合同。</w:t>
      </w:r>
    </w:p>
    <w:p w14:paraId="444F81E1">
      <w:pPr>
        <w:adjustRightInd w:val="0"/>
        <w:snapToGrid w:val="0"/>
        <w:spacing w:line="336" w:lineRule="auto"/>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十</w:t>
      </w:r>
      <w:r>
        <w:rPr>
          <w:rFonts w:hint="eastAsia" w:ascii="仿宋" w:hAnsi="仿宋" w:eastAsia="仿宋" w:cs="仿宋"/>
          <w:b/>
          <w:bCs/>
          <w:color w:val="auto"/>
          <w:sz w:val="21"/>
          <w:szCs w:val="21"/>
          <w:highlight w:val="none"/>
        </w:rPr>
        <w:t>一</w:t>
      </w:r>
      <w:r>
        <w:rPr>
          <w:rFonts w:hint="eastAsia" w:ascii="仿宋" w:hAnsi="仿宋" w:eastAsia="仿宋" w:cs="仿宋"/>
          <w:b/>
          <w:bCs/>
          <w:color w:val="auto"/>
          <w:sz w:val="21"/>
          <w:szCs w:val="21"/>
          <w:highlight w:val="none"/>
          <w:lang w:val="zh-CN"/>
        </w:rPr>
        <w:t>、不可抗力</w:t>
      </w:r>
    </w:p>
    <w:p w14:paraId="3A7D1F73">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遇自然灾害如疫情、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16CFB305">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遭受不可抗力的一方应采取一切必要措施减少损失，并在事件消除后立即恢复本合同的履行，除非履行已不可能或者不必要。如果一方由于不可抗力事件无法履行其在本合同项下义务，则另一方应有权终止部分或整体合同。终止合同应向对方发出解除合同的通知。</w:t>
      </w:r>
    </w:p>
    <w:p w14:paraId="30D32C8F">
      <w:pPr>
        <w:pStyle w:val="4"/>
        <w:spacing w:after="0" w:line="336"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十二、违约责任</w:t>
      </w:r>
    </w:p>
    <w:p w14:paraId="27060021">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（一）除不可抗力因素或本合同另有约定外，乙方不得单方解除本合同，乙方擅自解除合同或拒不履行合同义务的，除退还甲方已付费用外，还应当按合同总价款的</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%向甲方支付违约金，给甲方造成损失的，还应当赔偿甲方全部损失。</w:t>
      </w:r>
    </w:p>
    <w:p w14:paraId="4655E5F7">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（二）乙方未按约定标准履行合同义务，或所提供服务不符合甲方要求的，甲方按考核标准扣减服务费；累计达3次不符合标准的，除按考核标准扣除服务费外，乙方还应按合同总价</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‰向甲方支付违约金。</w:t>
      </w:r>
    </w:p>
    <w:p w14:paraId="5661BBDF">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（二）甲、乙双方对此合同的内容事项负有保密的义务，未经对方许可，不得向第三方透露。否则，由此产生的损失及律师费、诉讼费等费用均由违约方承担。</w:t>
      </w:r>
    </w:p>
    <w:p w14:paraId="2CCFEC90">
      <w:pPr>
        <w:pStyle w:val="4"/>
        <w:spacing w:after="0" w:line="336"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（三）未经甲方允许，乙方不得擅自转包他人，否则视为乙方违约，甲方有权终止协议，乙方应退还甲方已付费用，并向甲方支付合同总价款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‰的违约金，给甲方造成损失的，还应当赔偿及甲方违约责任。</w:t>
      </w:r>
    </w:p>
    <w:p w14:paraId="53344006">
      <w:pPr>
        <w:pStyle w:val="4"/>
        <w:spacing w:after="0" w:line="336"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zh-CN"/>
        </w:rPr>
        <w:t>十</w:t>
      </w:r>
      <w:r>
        <w:rPr>
          <w:rFonts w:hint="eastAsia" w:ascii="仿宋" w:hAnsi="仿宋" w:eastAsia="仿宋" w:cs="仿宋"/>
          <w:b/>
          <w:bCs/>
          <w:color w:val="auto"/>
          <w:sz w:val="21"/>
          <w:szCs w:val="21"/>
          <w:highlight w:val="none"/>
        </w:rPr>
        <w:t>三</w:t>
      </w:r>
      <w:r>
        <w:rPr>
          <w:rFonts w:hint="eastAsia" w:ascii="仿宋" w:hAnsi="仿宋" w:eastAsia="仿宋" w:cs="仿宋"/>
          <w:b/>
          <w:bCs/>
          <w:color w:val="auto"/>
          <w:sz w:val="21"/>
          <w:szCs w:val="21"/>
          <w:highlight w:val="none"/>
          <w:lang w:val="zh-CN"/>
        </w:rPr>
        <w:t>、</w:t>
      </w:r>
      <w:r>
        <w:rPr>
          <w:rFonts w:hint="eastAsia" w:ascii="仿宋" w:hAnsi="仿宋" w:eastAsia="仿宋" w:cs="仿宋"/>
          <w:b/>
          <w:bCs/>
          <w:color w:val="auto"/>
          <w:sz w:val="21"/>
          <w:szCs w:val="21"/>
          <w:highlight w:val="none"/>
        </w:rPr>
        <w:t>争议解决办法</w:t>
      </w:r>
    </w:p>
    <w:p w14:paraId="126C7EEE">
      <w:pPr>
        <w:pStyle w:val="4"/>
        <w:spacing w:after="0" w:line="336" w:lineRule="auto"/>
        <w:ind w:firstLine="420" w:firstLineChars="200"/>
        <w:jc w:val="left"/>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甲乙双方就本协议发生的纠纷，应通过协商解决；协商不成的，双方均应依法向甲方住所地人民法院诉讼解决。</w:t>
      </w:r>
    </w:p>
    <w:p w14:paraId="0AB75DCA">
      <w:pPr>
        <w:adjustRightInd w:val="0"/>
        <w:snapToGrid w:val="0"/>
        <w:spacing w:line="336" w:lineRule="auto"/>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lang w:val="zh-CN"/>
        </w:rPr>
        <w:t>十</w:t>
      </w:r>
      <w:r>
        <w:rPr>
          <w:rFonts w:hint="eastAsia" w:ascii="仿宋" w:hAnsi="仿宋" w:eastAsia="仿宋" w:cs="仿宋"/>
          <w:b/>
          <w:bCs/>
          <w:color w:val="auto"/>
          <w:sz w:val="21"/>
          <w:szCs w:val="21"/>
          <w:highlight w:val="none"/>
        </w:rPr>
        <w:t>四</w:t>
      </w:r>
      <w:r>
        <w:rPr>
          <w:rFonts w:hint="eastAsia" w:ascii="仿宋" w:hAnsi="仿宋" w:eastAsia="仿宋" w:cs="仿宋"/>
          <w:b/>
          <w:bCs/>
          <w:color w:val="auto"/>
          <w:sz w:val="21"/>
          <w:szCs w:val="21"/>
          <w:highlight w:val="none"/>
          <w:lang w:val="zh-CN"/>
        </w:rPr>
        <w:t>、合同订立</w:t>
      </w:r>
    </w:p>
    <w:p w14:paraId="2852355B">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（一）</w:t>
      </w:r>
      <w:r>
        <w:rPr>
          <w:rFonts w:hint="eastAsia" w:ascii="仿宋" w:hAnsi="仿宋" w:eastAsia="仿宋" w:cs="仿宋"/>
          <w:color w:val="auto"/>
          <w:sz w:val="21"/>
          <w:szCs w:val="21"/>
          <w:highlight w:val="none"/>
          <w:lang w:val="zh-CN"/>
        </w:rPr>
        <w:t xml:space="preserve"> 订立时间：</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年</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月</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日。</w:t>
      </w:r>
    </w:p>
    <w:p w14:paraId="27512FFA">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订立地点：</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w:t>
      </w:r>
    </w:p>
    <w:p w14:paraId="72327E1E">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rPr>
        <w:t>（三）</w:t>
      </w:r>
      <w:r>
        <w:rPr>
          <w:rFonts w:hint="eastAsia" w:ascii="仿宋" w:hAnsi="仿宋" w:eastAsia="仿宋" w:cs="仿宋"/>
          <w:color w:val="auto"/>
          <w:sz w:val="21"/>
          <w:szCs w:val="21"/>
          <w:highlight w:val="none"/>
          <w:lang w:val="zh-CN"/>
        </w:rPr>
        <w:t>本合同一式</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份，具有同等法律效力，双方各执</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zh-CN"/>
        </w:rPr>
        <w:t xml:space="preserve"> </w:t>
      </w:r>
      <w:r>
        <w:rPr>
          <w:rFonts w:hint="eastAsia" w:ascii="仿宋" w:hAnsi="仿宋" w:eastAsia="仿宋" w:cs="仿宋"/>
          <w:color w:val="auto"/>
          <w:sz w:val="21"/>
          <w:szCs w:val="21"/>
          <w:highlight w:val="none"/>
          <w:lang w:val="zh-CN"/>
        </w:rPr>
        <w:t>份。各方签字盖章后生效，合同执行完毕自动失效。</w:t>
      </w:r>
    </w:p>
    <w:p w14:paraId="17227F66">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（以下无正文）</w:t>
      </w:r>
    </w:p>
    <w:p w14:paraId="53B72E46">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p>
    <w:p w14:paraId="6A498C40">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en-US" w:eastAsia="zh-CN"/>
        </w:rPr>
        <w:t>甲方</w:t>
      </w:r>
      <w:r>
        <w:rPr>
          <w:rFonts w:hint="eastAsia" w:ascii="仿宋" w:hAnsi="仿宋" w:eastAsia="仿宋" w:cs="仿宋"/>
          <w:color w:val="auto"/>
          <w:sz w:val="21"/>
          <w:szCs w:val="21"/>
          <w:highlight w:val="none"/>
          <w:lang w:val="zh-CN"/>
        </w:rPr>
        <w:t xml:space="preserve">： （盖章）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乙方</w:t>
      </w:r>
      <w:r>
        <w:rPr>
          <w:rFonts w:hint="eastAsia" w:ascii="仿宋" w:hAnsi="仿宋" w:eastAsia="仿宋" w:cs="仿宋"/>
          <w:color w:val="auto"/>
          <w:sz w:val="21"/>
          <w:szCs w:val="21"/>
          <w:highlight w:val="none"/>
          <w:lang w:val="zh-CN"/>
        </w:rPr>
        <w:t xml:space="preserve">： （盖章）                                        </w:t>
      </w:r>
    </w:p>
    <w:p w14:paraId="26DD97FB">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法定代表人或其授权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zh-CN"/>
        </w:rPr>
        <w:t>法定代表人或其授权</w:t>
      </w:r>
    </w:p>
    <w:p w14:paraId="37563B7A">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的代理人：（签字）                 的代理人：（签字）          </w:t>
      </w:r>
    </w:p>
    <w:p w14:paraId="1D82B9FF">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开户银行：                         开户银行：                  </w:t>
      </w:r>
    </w:p>
    <w:p w14:paraId="5A6ABAC7">
      <w:pPr>
        <w:adjustRightInd w:val="0"/>
        <w:snapToGrid w:val="0"/>
        <w:spacing w:line="336"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 xml:space="preserve">账号：                             账号：                      </w:t>
      </w:r>
    </w:p>
    <w:p w14:paraId="16D9264E">
      <w:pPr>
        <w:ind w:firstLine="420" w:firstLineChars="200"/>
        <w:rPr>
          <w:rFonts w:hint="eastAsia" w:ascii="仿宋" w:hAnsi="仿宋" w:eastAsia="仿宋" w:cs="仿宋"/>
          <w:sz w:val="21"/>
          <w:szCs w:val="21"/>
        </w:rPr>
      </w:pPr>
      <w:r>
        <w:rPr>
          <w:rFonts w:hint="eastAsia" w:ascii="仿宋" w:hAnsi="仿宋" w:eastAsia="仿宋" w:cs="仿宋"/>
          <w:color w:val="auto"/>
          <w:sz w:val="21"/>
          <w:szCs w:val="21"/>
          <w:highlight w:val="none"/>
          <w:lang w:val="zh-CN"/>
        </w:rPr>
        <w:t>电话：                             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1F579E"/>
    <w:rsid w:val="60554A98"/>
    <w:rsid w:val="62B0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4">
    <w:name w:val="Body Text"/>
    <w:basedOn w:val="1"/>
    <w:qFormat/>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3892</Words>
  <Characters>3924</Characters>
  <Lines>0</Lines>
  <Paragraphs>0</Paragraphs>
  <TotalTime>1</TotalTime>
  <ScaleCrop>false</ScaleCrop>
  <LinksUpToDate>false</LinksUpToDate>
  <CharactersWithSpaces>4832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2026-03-19T11:35:00Z</dcterms:created>
  <dc:creator>李江</dc:creator>
  <cp:lastModifiedBy>年少时代</cp:lastModifiedBy>
  <dcterms:modified xsi:type="dcterms:W3CDTF">2026-03-26T09:17:58Z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22CAE28D0C614C95BA162E1FC50AB64B_12</vt:lpwstr>
  </property>
  <property fmtid="{D5CDD505-2E9C-101B-9397-08002B2CF9AE}" pid="4" name="KSOTemplateDocerSaveRecord">
    <vt:lpwstr>eyJoZGlkIjoiYzVkZjAwMTI1ODYzNjhmOTg0YjRhNjIwM2FkNTNlZjMiLCJ1c2VySWQiOiI3MDczMjM0OTYifQ==</vt:lpwstr>
  </property>
</Properties>
</file>