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A6378">
      <w:pPr>
        <w:pStyle w:val="11"/>
        <w:spacing w:before="0" w:after="0" w:line="360" w:lineRule="auto"/>
        <w:ind w:left="0"/>
        <w:rPr>
          <w:rFonts w:hint="eastAsia" w:ascii="仿宋" w:hAnsi="仿宋" w:eastAsia="仿宋" w:cs="仿宋"/>
          <w:color w:val="auto"/>
          <w:highlight w:val="none"/>
        </w:rPr>
      </w:pPr>
      <w:bookmarkStart w:id="0" w:name="_Toc31045"/>
      <w:bookmarkStart w:id="1" w:name="_Toc20524"/>
      <w:bookmarkStart w:id="2" w:name="_Toc13676"/>
      <w:bookmarkStart w:id="3" w:name="_Toc21079"/>
      <w:bookmarkStart w:id="4" w:name="_Toc21101"/>
      <w:r>
        <w:rPr>
          <w:rFonts w:hint="eastAsia" w:ascii="仿宋" w:hAnsi="仿宋" w:eastAsia="仿宋" w:cs="仿宋"/>
          <w:color w:val="auto"/>
          <w:sz w:val="32"/>
          <w:highlight w:val="none"/>
        </w:rPr>
        <w:t xml:space="preserve">第三部分 </w:t>
      </w:r>
      <w:bookmarkEnd w:id="0"/>
      <w:bookmarkEnd w:id="1"/>
      <w:bookmarkEnd w:id="2"/>
      <w:bookmarkEnd w:id="3"/>
      <w:bookmarkEnd w:id="4"/>
      <w:r>
        <w:rPr>
          <w:rFonts w:hint="eastAsia" w:ascii="仿宋" w:hAnsi="仿宋" w:eastAsia="仿宋" w:cs="仿宋"/>
          <w:color w:val="auto"/>
          <w:sz w:val="32"/>
          <w:highlight w:val="none"/>
        </w:rPr>
        <w:t>投标方案</w:t>
      </w:r>
    </w:p>
    <w:p w14:paraId="1137406E">
      <w:pPr>
        <w:spacing w:line="360" w:lineRule="auto"/>
        <w:ind w:firstLine="562" w:firstLineChars="200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一、技术服务方案</w:t>
      </w:r>
    </w:p>
    <w:p w14:paraId="6954755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参照招标文件第五章《评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标</w:t>
      </w:r>
      <w:r>
        <w:rPr>
          <w:rFonts w:hint="eastAsia" w:ascii="仿宋" w:hAnsi="仿宋" w:eastAsia="仿宋" w:cs="仿宋"/>
          <w:color w:val="auto"/>
          <w:highlight w:val="none"/>
        </w:rPr>
        <w:t>方法》分值构成与评分标准各条款的要求，结合第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highlight w:val="none"/>
        </w:rPr>
        <w:t>章《招标项目技术、服务、商务及其他要求》编制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技术</w:t>
      </w:r>
      <w:bookmarkStart w:id="5" w:name="_GoBack"/>
      <w:bookmarkEnd w:id="5"/>
      <w:r>
        <w:rPr>
          <w:rFonts w:hint="eastAsia" w:ascii="仿宋" w:hAnsi="仿宋" w:eastAsia="仿宋" w:cs="仿宋"/>
          <w:color w:val="auto"/>
          <w:highlight w:val="none"/>
        </w:rPr>
        <w:t>方案。</w:t>
      </w:r>
    </w:p>
    <w:p w14:paraId="118105DF">
      <w:pPr>
        <w:rPr>
          <w:rFonts w:hint="eastAsia" w:ascii="仿宋" w:hAnsi="仿宋" w:eastAsia="仿宋" w:cs="仿宋"/>
          <w:color w:val="auto"/>
          <w:highlight w:val="none"/>
        </w:rPr>
      </w:pPr>
    </w:p>
    <w:p w14:paraId="46367007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06BD8765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375550E4">
      <w:pPr>
        <w:rPr>
          <w:rFonts w:hint="eastAsia" w:ascii="仿宋" w:hAnsi="仿宋" w:eastAsia="仿宋" w:cs="仿宋"/>
          <w:color w:val="auto"/>
          <w:highlight w:val="none"/>
        </w:rPr>
      </w:pPr>
    </w:p>
    <w:p w14:paraId="22419FD9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26A5746A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2ED28CBA">
      <w:pPr>
        <w:rPr>
          <w:rFonts w:hint="eastAsia" w:ascii="仿宋" w:hAnsi="仿宋" w:eastAsia="仿宋" w:cs="仿宋"/>
          <w:color w:val="auto"/>
          <w:highlight w:val="none"/>
        </w:rPr>
      </w:pPr>
    </w:p>
    <w:p w14:paraId="5F2E2F66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3557BD2A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24DE6BCA">
      <w:pPr>
        <w:rPr>
          <w:rFonts w:hint="eastAsia" w:ascii="仿宋" w:hAnsi="仿宋" w:eastAsia="仿宋" w:cs="仿宋"/>
          <w:color w:val="auto"/>
          <w:highlight w:val="none"/>
        </w:rPr>
      </w:pPr>
    </w:p>
    <w:p w14:paraId="3025481B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3EE8C90E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3837F4A9">
      <w:pPr>
        <w:rPr>
          <w:rFonts w:hint="eastAsia" w:ascii="仿宋" w:hAnsi="仿宋" w:eastAsia="仿宋" w:cs="仿宋"/>
          <w:color w:val="auto"/>
          <w:highlight w:val="none"/>
        </w:rPr>
      </w:pPr>
    </w:p>
    <w:p w14:paraId="045B1CB5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381FE83D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1C2C789F">
      <w:pPr>
        <w:rPr>
          <w:rFonts w:hint="eastAsia" w:ascii="仿宋" w:hAnsi="仿宋" w:eastAsia="仿宋" w:cs="仿宋"/>
          <w:color w:val="auto"/>
          <w:highlight w:val="none"/>
        </w:rPr>
      </w:pPr>
    </w:p>
    <w:p w14:paraId="26A3358D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20DF77A0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0AE2226E">
      <w:pPr>
        <w:rPr>
          <w:rFonts w:hint="eastAsia" w:ascii="仿宋" w:hAnsi="仿宋" w:eastAsia="仿宋" w:cs="仿宋"/>
          <w:color w:val="auto"/>
          <w:highlight w:val="none"/>
        </w:rPr>
      </w:pPr>
    </w:p>
    <w:p w14:paraId="30C3C3D6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3DA467B9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2E2E2B0E">
      <w:pPr>
        <w:rPr>
          <w:rFonts w:hint="eastAsia" w:ascii="仿宋" w:hAnsi="仿宋" w:eastAsia="仿宋" w:cs="仿宋"/>
          <w:color w:val="auto"/>
          <w:highlight w:val="none"/>
        </w:rPr>
      </w:pPr>
    </w:p>
    <w:p w14:paraId="2877ECEB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1E94F9FF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21DED225">
      <w:pPr>
        <w:rPr>
          <w:rFonts w:hint="eastAsia" w:ascii="仿宋" w:hAnsi="仿宋" w:eastAsia="仿宋" w:cs="仿宋"/>
          <w:color w:val="auto"/>
          <w:highlight w:val="none"/>
        </w:rPr>
      </w:pPr>
    </w:p>
    <w:p w14:paraId="2139A549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0A1E55A2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3A5C9EE2">
      <w:pPr>
        <w:rPr>
          <w:rFonts w:hint="eastAsia" w:ascii="仿宋" w:hAnsi="仿宋" w:eastAsia="仿宋" w:cs="仿宋"/>
          <w:color w:val="auto"/>
          <w:highlight w:val="none"/>
        </w:rPr>
      </w:pPr>
    </w:p>
    <w:p w14:paraId="19C45EA6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7E6EBA90">
      <w:pPr>
        <w:pStyle w:val="6"/>
        <w:rPr>
          <w:rFonts w:hint="eastAsia" w:ascii="仿宋" w:hAnsi="仿宋" w:eastAsia="仿宋" w:cs="仿宋"/>
          <w:color w:val="auto"/>
          <w:highlight w:val="none"/>
        </w:rPr>
      </w:pPr>
    </w:p>
    <w:p w14:paraId="413490EB">
      <w:pPr>
        <w:rPr>
          <w:rFonts w:hint="eastAsia" w:ascii="仿宋" w:hAnsi="仿宋" w:eastAsia="仿宋" w:cs="仿宋"/>
          <w:color w:val="auto"/>
          <w:highlight w:val="none"/>
        </w:rPr>
      </w:pPr>
    </w:p>
    <w:p w14:paraId="35597FCD">
      <w:pPr>
        <w:pStyle w:val="7"/>
        <w:rPr>
          <w:rFonts w:hint="eastAsia" w:ascii="仿宋" w:hAnsi="仿宋" w:eastAsia="仿宋" w:cs="仿宋"/>
          <w:color w:val="auto"/>
          <w:highlight w:val="none"/>
        </w:rPr>
      </w:pPr>
    </w:p>
    <w:p w14:paraId="3E3F73DB">
      <w:pPr>
        <w:spacing w:line="360" w:lineRule="auto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二、投标人认为有利于中标的其他情况说明</w:t>
      </w:r>
    </w:p>
    <w:p w14:paraId="528A08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A6690"/>
    <w:rsid w:val="44E11C2A"/>
    <w:rsid w:val="4EE73456"/>
    <w:rsid w:val="5F676564"/>
    <w:rsid w:val="62B0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3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8">
    <w:name w:val="Body Text First Indent"/>
    <w:basedOn w:val="6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11">
    <w:name w:val="标题 2（投标文件）"/>
    <w:basedOn w:val="4"/>
    <w:autoRedefine/>
    <w:qFormat/>
    <w:uiPriority w:val="99"/>
    <w:pPr>
      <w:jc w:val="center"/>
    </w:pPr>
  </w:style>
  <w:style w:type="paragraph" w:customStyle="1" w:styleId="12">
    <w:name w:val="标题 3（投标文件）"/>
    <w:basedOn w:val="5"/>
    <w:autoRedefine/>
    <w:qFormat/>
    <w:uiPriority w:val="0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89</Characters>
  <Lines>0</Lines>
  <Paragraphs>0</Paragraphs>
  <TotalTime>6</TotalTime>
  <ScaleCrop>false</ScaleCrop>
  <LinksUpToDate>false</LinksUpToDate>
  <CharactersWithSpaces>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2026-03-19T11:35:00Z</dcterms:created>
  <dc:creator>李江</dc:creator>
  <cp:lastModifiedBy>年少时代</cp:lastModifiedBy>
  <dcterms:modified xsi:type="dcterms:W3CDTF">2026-03-26T09:20:17Z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22CAE28D0C614C95BA162E1FC50AB64B_12</vt:lpwstr>
  </property>
  <property fmtid="{D5CDD505-2E9C-101B-9397-08002B2CF9AE}" pid="4" name="KSOTemplateDocerSaveRecord">
    <vt:lpwstr>eyJoZGlkIjoiYzVkZjAwMTI1ODYzNjhmOTg0YjRhNjIwM2FkNTNlZjMiLCJ1c2VySWQiOiI3MDczMjM0OTYifQ==</vt:lpwstr>
  </property>
</Properties>
</file>