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版本号：HXGJXM2026-ZC-CS100620260306001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中药饮片招标项目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HXGJXM2026-ZC-CS1006</w:t>
      </w:r>
      <w:r>
        <w:br/>
      </w:r>
      <w:r>
        <w:br/>
      </w:r>
      <w:r>
        <w:br/>
      </w:r>
    </w:p>
    <w:p>
      <w:pPr>
        <w:pStyle w:val="null3"/>
        <w:jc w:val="center"/>
        <w:outlineLvl w:val="2"/>
      </w:pPr>
      <w:r>
        <w:rPr>
          <w:rFonts w:ascii="仿宋_GB2312" w:hAnsi="仿宋_GB2312" w:cs="仿宋_GB2312" w:eastAsia="仿宋_GB2312"/>
          <w:sz w:val="28"/>
          <w:b/>
        </w:rPr>
        <w:t>雁塔区鱼化社区卫生服务中心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雁塔区鱼化社区卫生服务中心</w:t>
      </w:r>
      <w:r>
        <w:rPr>
          <w:rFonts w:ascii="仿宋_GB2312" w:hAnsi="仿宋_GB2312" w:cs="仿宋_GB2312" w:eastAsia="仿宋_GB2312"/>
        </w:rPr>
        <w:t>委托，拟对</w:t>
      </w:r>
      <w:r>
        <w:rPr>
          <w:rFonts w:ascii="仿宋_GB2312" w:hAnsi="仿宋_GB2312" w:cs="仿宋_GB2312" w:eastAsia="仿宋_GB2312"/>
        </w:rPr>
        <w:t>中药饮片招标项目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中药饮片招标项目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中药饮片招标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1、法定代表人授权书或法定代表人身份证明：被授权人身份证复印件及被授权人磋商截止日前一年内已缴存的至少一个月的社会保障资金凭证）；法定代表人直接参加投标，须提供法定代表人身份证明；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3、资质：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p>
      <w:pPr>
        <w:pStyle w:val="null3"/>
      </w:pPr>
      <w:r>
        <w:rPr>
          <w:rFonts w:ascii="仿宋_GB2312" w:hAnsi="仿宋_GB2312" w:cs="仿宋_GB2312" w:eastAsia="仿宋_GB2312"/>
        </w:rPr>
        <w:t>4、非联合体：本合同包不接受联合体投标。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雁塔区鱼化社区卫生服务中心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西安市高新区鱼斗路14号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西安市雁塔区天谷六路239号</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029-88752992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代理服务费收费标准：定额：6000元。 户名：华夏国际项目管理（西安）有限公司第一分公司 开户行:中国光大银行股份有限公司西安科技六路支行 账号:78620188000199459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雁塔区鱼化社区卫生服务中心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雁塔区鱼化社区卫生服务中心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联系人：宋文倩、康敏茹、张艳萍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中药饮片招标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w:t>
      </w:r>
    </w:p>
    <w:p>
      <w:pPr>
        <w:pStyle w:val="null3"/>
      </w:pPr>
      <w:r>
        <w:rPr>
          <w:rFonts w:ascii="仿宋_GB2312" w:hAnsi="仿宋_GB2312" w:cs="仿宋_GB2312" w:eastAsia="仿宋_GB2312"/>
        </w:rPr>
        <w:t>采购包最高限价（元）: 275,000.00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中药饮片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标的名称：中药饮片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58"/>
              <w:gridCol w:w="657"/>
              <w:gridCol w:w="818"/>
              <w:gridCol w:w="802"/>
            </w:tblGrid>
            <w:tr>
              <w:tc>
                <w:tcPr>
                  <w:tcW w:type="dxa" w:w="2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57"/>
                  <w:tcBorders>
                    <w:top w:val="single" w:color="000000" w:sz="4"/>
                    <w:left w:val="none" w:color="000000" w:sz="4"/>
                    <w:bottom w:val="single" w:color="000000" w:sz="4"/>
                    <w:right w:val="non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81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规格</w:t>
                  </w:r>
                </w:p>
              </w:tc>
              <w:tc>
                <w:tcPr>
                  <w:tcW w:type="dxa" w:w="80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药品单位</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粉葛</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首乌藤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麸炒苍术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麸炒白术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北柴胡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黄芩片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甘草片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姜厚朴</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炒鸡内金</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牡蛎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瓜蒌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龙骨</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麸炒枳壳</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姜半夏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炒苦杏仁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盐车前子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白花蛇舌草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煅牡蛎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醋香附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醋郁金</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炒莱菔子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枳实</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炒陕六神曲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清半夏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合欢花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茯神</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白茅根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赤芍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浙贝母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生石膏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醋南五味子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地肤子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浮小麦</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炒桃仁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醋延胡索</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砂仁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茵陈</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煅磁石</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制远志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法半夏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火麻仁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淡竹叶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石菖蒲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麦芽</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麸炒山药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炒酸枣仁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栀子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钩藤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黑顺片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蜜紫菀</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熟地黄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酒苁蓉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荷叶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艾叶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伸筋草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猪苓</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桑寄生</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煅赭石</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透骨草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煅龙骨</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海螵蛸</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炒紫苏子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菊花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焦山楂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薤白</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红景天</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干姜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盐菟丝子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萹蓄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瞿麦</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大枣</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北沙参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败酱草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醋莪术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炙淫羊藿</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路路通</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枸杞子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藿香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瓦楞子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车前草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辛夷</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桑枝</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炒决明子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盐知母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黄连片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细辛</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磁石</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木通</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龙眼肉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炒槟榔</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花椒</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牛蒡子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枇杷叶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吴茱萸</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鸡血藤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制川乌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羌活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醋三棱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蜜百部</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制草乌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炒川楝子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地骨皮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乌药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制何首乌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芦根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款冬花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煅石决明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柏子仁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野菊花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续断片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蜜麻黄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土茯苓</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半枝莲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升麻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滑石粉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金钱草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赤小豆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薄荷</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白鲜皮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龙胆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冬瓜皮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炒蒺藜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秦艽</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金樱子肉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炒王不留行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干益母草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板蓝根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威灵仙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芒硝</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佩兰</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烫狗脊</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蝉蜕</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补骨脂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人参片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益智仁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蜜桑白皮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石韦</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乌梅</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制巴戟天</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豨莶草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酒女贞子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醋乳香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炒苍耳子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干石斛</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肉桂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小蓟</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炮姜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大腹皮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苦参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茜草炭</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鹿衔草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旋覆花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前胡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郁李仁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炒僵蚕</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海风藤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麻黄根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射干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芡实</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紫花地丁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胖大海</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藁本片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蛇床子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墨旱莲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炒栀子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银柴胡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醋没药</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侧柏叶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大蓟</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绵萆薢</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肉豆蔻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西洋参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番泻叶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醋龟甲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虎杖</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制白附子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蜜百合</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茯苓皮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豆蔻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玉竹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五倍子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烫骨碎补</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紫苏叶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皂角刺</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白芥子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南沙参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茜草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橘红</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大血藤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白矾</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桑螵蛸</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胡黄连</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酒黄精</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珍珠母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玫瑰花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干鱼腥草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生蒲黄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地榆炭</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木蝴蝶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侧柏炭</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甘松</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积雪草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炒白果仁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五灵脂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醋鳖甲</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柿蒂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姜黄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丁香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小茴香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五加皮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三七粉</w:t>
                  </w:r>
                </w:p>
                <w:p>
                  <w:pPr>
                    <w:pStyle w:val="null3"/>
                    <w:jc w:val="center"/>
                  </w:pPr>
                  <w:r>
                    <w:rPr>
                      <w:rFonts w:ascii="仿宋_GB2312" w:hAnsi="仿宋_GB2312" w:cs="仿宋_GB2312" w:eastAsia="仿宋_GB2312"/>
                      <w:sz w:val="22"/>
                      <w:b/>
                      <w:color w:val="FF0000"/>
                    </w:rPr>
                    <w:t>（核心产品）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朱砂粉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佛手</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草豆蔻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阿胶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山奈</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刺五加</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沙苑子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蜈蚣</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紫苏梗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盐韭菜子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鹅不食草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冰片（合成龙脑）</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大皂角</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胆南星</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高良姜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草果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大青叶</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锁阳</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泽兰</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白芨</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灵芝</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葶苈子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橘核</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仙茅</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紫石英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蔓荆子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青蒿</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土鳖虫</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香薷</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莲子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覆盆子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浮萍</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淡豆豉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烫水蛭</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红参</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绞股蓝</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马勃</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绵马贯众</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水牛角</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北刘寄奴</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酒大黄</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千年健</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夏天无</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卷柏</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玉米须</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大风子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饴糖</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冬瓜子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山慈菇</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诃子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八角茴香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三白草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肿节风</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菝葜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凌霄花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紫草</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檀香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沉香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南瓜子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椿皮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蛤蚧</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292</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海马</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293</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娑罗子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294</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使君子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葛花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296</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合欢皮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297</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莲子心</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298</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牛蒡根</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299</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海龙</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酸枣仁</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301</w:t>
                  </w:r>
                </w:p>
              </w:tc>
              <w:tc>
                <w:tcPr>
                  <w:tcW w:type="dxa" w:w="657"/>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茺蔚子</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1g*1000/kg</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r>
          </w:tbl>
          <w:p>
            <w:pPr>
              <w:pStyle w:val="null3"/>
            </w:pPr>
            <w:r>
              <w:rPr>
                <w:rFonts w:ascii="仿宋_GB2312" w:hAnsi="仿宋_GB2312" w:cs="仿宋_GB2312" w:eastAsia="仿宋_GB2312"/>
                <w:sz w:val="24"/>
                <w:b/>
              </w:rPr>
              <w:t>核心产品为</w:t>
            </w:r>
            <w:r>
              <w:rPr>
                <w:rFonts w:ascii="仿宋_GB2312" w:hAnsi="仿宋_GB2312" w:cs="仿宋_GB2312" w:eastAsia="仿宋_GB2312"/>
                <w:sz w:val="24"/>
                <w:b/>
                <w:color w:val="FF0000"/>
              </w:rPr>
              <w:t>三七粉</w:t>
            </w:r>
            <w:r>
              <w:rPr>
                <w:rFonts w:ascii="仿宋_GB2312" w:hAnsi="仿宋_GB2312" w:cs="仿宋_GB2312" w:eastAsia="仿宋_GB2312"/>
                <w:sz w:val="24"/>
                <w:b/>
              </w:rPr>
              <w:t>，本次采购的所有产品均为统货（统片）。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接甲方通知后，48小时内送达，配送期一年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乙方根据甲方的计划采购单，按时供货，货物到达指定地点验收合格后，据实结账，乙方提供相应的发票，甲方收到后，提交财务审核，审核结束后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根据磋商文件和合同要求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1.按采购人采购计划（品种、规格和数量）在48小时内运送至采购人指定地点，急需中药饮片需3小时内配送到位。 2.中药饮片需送货上门，不接受邮寄、快递等方式。 3.乙方对所供货物出现的问题推委、拖延，48小时未作出服务响应，应接受甲方的合理处罚。 4.合同履约过程中，甲方应积极配合乙方进行货物验收以及验收前的外围配套等工作。否则，因此导致货物不能按期验收时，不能追究乙方责任。 5.合同签署后，乙方按照甲方要求积极参与中药饮片配送； 6.针对中药饮片月均销量≥100kg的品种，若市场价格涨幅超过中标单价的2倍或跌至中标价的1/2时启动动态调价机制。 7.集中采购中药饮片纳入招标目录，若上级部门通知中药饮片集采开始，便不再在本次中标供应商处采购。 7.1后续如有饮片被列入集采目录进行集采，本项目后续将不在采购后续被列入集采的饮片。 7.2配送过程中，在配送过程中出现缺货、质量不符合要求的情况下，不能及时配送等因素的情况下，采购人可以应急采购因缺货导致无法配送的饮片，为避免影响临床患者用药，采购单位采取应急采购措施，优先在上年度配送供应商处采购。 8.采购人在中标供应商配送周期内，会按照投标文件中提供的药材来源及产地信息进行随机抽查，如出现药材与投标文件产地等信息不相符的，除暂停配送合同外将进一步追究其相关责任，并将该情况进行记录上报政府采购及相关监管机构。 9.投标报价包括但不限于成本、税金、运费、人工等完成本项目所需的所有费用。 10.在后期采购人下单采购饮片时，供应商应提供所供中药饮片的以下内容： 10.1产品信息（包括产品名称、批号、生产企业、生产日期等）； 10.2提供中药饮片产地信息（注明具体产地）； 10.3中药饮片生产信息（包括炮制方法、执行标准等）； 10.4中药饮片检验信息（附有质检报告）。 10.5药材的仓库要求、仓储能力，符合中药饮片的环境控制、分类保存方法以及包装等。 10.6配送要求：:至少提供2辆车辆，提供车辆证明（包含但不限于行驶证等信息） 10.7需配备医药类相关人员（至少一人为职业中药师） 10.8能提供中药饮片溯源保证措施，且在陕西省平台注册，并配备中药饮片的质检设备。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或2025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3.提供具有履行合同所必需的设备和专业技术能力的承诺； 4.税收缴纳证明：提供递交响应文件截止之日前一年内任意一个月的依法缴纳税收的完税证明，完税证明应有税务机关或代收机关的公章或业务专用章。依法免税或无须缴纳税收的供应商，应提供相应证明文件； 5.社会保障资金缴纳证明：提供响应文件递交截止日前一年内已缴存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磋商资格证明文件.docx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磋商资格证明文件.docx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被授权人身份证复印件及被授权人磋商截止日前一年内已缴存的至少一个月的社会保障资金凭证）；法定代表人直接参加投标，须提供法定代表人身份证明；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经销商须具有合法有效的《药品经营许可证》并提供本包所投药品的《药品生产许可证》，如为毒性饮片，其药品生产许可证的生产范围和经销商药品经营许可证的经营范围须包括中药饮片（含毒性饮片），如为实施批准文号管理的中药饮片须提供该品种的注册批件； 供应商为生产企业须具有合法有效的《药品生产许可证》，如为毒性饮片，其药品生产许可证中的生产范围须包括中药饮片（含毒性饮片），如为实施批准文号管理的中药饮片须提供该品种的注册批件；</w:t>
            </w:r>
          </w:p>
        </w:tc>
        <w:tc>
          <w:tcPr>
            <w:tcW w:type="dxa" w:w="1661"/>
          </w:tcPr>
          <w:p>
            <w:pPr>
              <w:pStyle w:val="null3"/>
            </w:pPr>
            <w:r>
              <w:rPr>
                <w:rFonts w:ascii="仿宋_GB2312" w:hAnsi="仿宋_GB2312" w:cs="仿宋_GB2312" w:eastAsia="仿宋_GB2312"/>
              </w:rPr>
              <w:t>磋商资格证明文件.docx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本合同包不接受联合体投标。</w:t>
            </w:r>
          </w:p>
        </w:tc>
        <w:tc>
          <w:tcPr>
            <w:tcW w:type="dxa" w:w="1661"/>
          </w:tcPr>
          <w:p>
            <w:pPr>
              <w:pStyle w:val="null3"/>
            </w:pPr>
            <w:r>
              <w:rPr>
                <w:rFonts w:ascii="仿宋_GB2312" w:hAnsi="仿宋_GB2312" w:cs="仿宋_GB2312" w:eastAsia="仿宋_GB2312"/>
              </w:rPr>
              <w:t>磋商资格证明文件.docx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一次单价汇总表.docx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报价表 供应商承诺书.docx 响应文件封面 二次报价表.docx 残疾人福利性单位声明函 一次单价汇总表.docx 标的清单 商务条款偏离表及投入人员汇总.docx 磋商资格证明文件.docx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供应商应提交的相关业绩证明材料.docx 中小企业声明函 报价表 供应商承诺书.docx 响应文件封面 二次报价表.docx 残疾人福利性单位声明函 一次单价汇总表.docx 标的清单 商务条款偏离表及投入人员汇总.docx 磋商资格证明文件.docx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报价表 供应商承诺书.docx 响应文件封面 二次报价表.docx 残疾人福利性单位声明函 一次单价汇总表.docx 标的清单 商务条款偏离表及投入人员汇总.docx 磋商资格证明文件.docx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一次单价汇总表.docx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应满足磋商文件中要求的供货期</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报价表 供应商承诺书.docx 响应文件封面 二次报价表.docx 残疾人福利性单位声明函 一次单价汇总表.docx 标的清单 商务条款偏离表及投入人员汇总.docx 磋商资格证明文件.docx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企业综合实力1</w:t>
            </w:r>
          </w:p>
        </w:tc>
        <w:tc>
          <w:tcPr>
            <w:tcW w:type="dxa" w:w="2492"/>
          </w:tcPr>
          <w:p>
            <w:pPr>
              <w:pStyle w:val="null3"/>
            </w:pPr>
            <w:r>
              <w:rPr>
                <w:rFonts w:ascii="仿宋_GB2312" w:hAnsi="仿宋_GB2312" w:cs="仿宋_GB2312" w:eastAsia="仿宋_GB2312"/>
              </w:rPr>
              <w:t>投标人中药饮片库仓储面积能够保证采购人药材供应：中药饮片库仓储面积在300㎡以上得3分，最高得3分。不足300㎡得1分。 注：只包含中药饮片库，不包含西药库。需提供1.库房平面图；2.库房照片；3.库房租赁合同（租赁）或产权证明（自有）等证明材料。（三项都需提供证明材料，未提供或缺项不得分）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企业综合实力2</w:t>
            </w:r>
          </w:p>
        </w:tc>
        <w:tc>
          <w:tcPr>
            <w:tcW w:type="dxa" w:w="2492"/>
          </w:tcPr>
          <w:p>
            <w:pPr>
              <w:pStyle w:val="null3"/>
            </w:pPr>
            <w:r>
              <w:rPr>
                <w:rFonts w:ascii="仿宋_GB2312" w:hAnsi="仿宋_GB2312" w:cs="仿宋_GB2312" w:eastAsia="仿宋_GB2312"/>
              </w:rPr>
              <w:t>投标人自有配送物流运输车辆：在2辆车基础上，每增加1台加1分，最高得3分。注：需提供自有加盖公章的行驶证及照片（机动车所有人为投标人）的配送车辆，应提供年检有效的机动车行驶证彩色扫描件加盖公章，未提供或提供的证件不齐全、不清晰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拟投入人员1</w:t>
            </w:r>
          </w:p>
        </w:tc>
        <w:tc>
          <w:tcPr>
            <w:tcW w:type="dxa" w:w="2492"/>
          </w:tcPr>
          <w:p>
            <w:pPr>
              <w:pStyle w:val="null3"/>
            </w:pPr>
            <w:r>
              <w:rPr>
                <w:rFonts w:ascii="仿宋_GB2312" w:hAnsi="仿宋_GB2312" w:cs="仿宋_GB2312" w:eastAsia="仿宋_GB2312"/>
              </w:rPr>
              <w:t>投标人提供详细的拟投入①人员数量 ②人员配置 ③人员分工 评审标准： （1）每项内容完整，描述清晰，合理且能满足项目需求的计6分； （2）每有一处缺项扣2分， （3）每项有缺陷的扣0-2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拟投入人员2</w:t>
            </w:r>
          </w:p>
        </w:tc>
        <w:tc>
          <w:tcPr>
            <w:tcW w:type="dxa" w:w="2492"/>
          </w:tcPr>
          <w:p>
            <w:pPr>
              <w:pStyle w:val="null3"/>
            </w:pPr>
            <w:r>
              <w:rPr>
                <w:rFonts w:ascii="仿宋_GB2312" w:hAnsi="仿宋_GB2312" w:cs="仿宋_GB2312" w:eastAsia="仿宋_GB2312"/>
              </w:rPr>
              <w:t>至少投入2人，其中至少一人有中药学教学背景，并且具备医药类中级职称，在此基础上每增加1个具备医药类中级职称得2分，最高得4分。 注：需提证书复印件及人员社保（至少提供投标截止时间前3个月），未提供或提供的证件不齐全、不清晰不得分。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针对本项目有详细可行整体实施方案；评审内容：①供货组织安排方案②供货时效性保证措施③运输配送保障方案 ④质量保障方案⑤产品的检验方案；由评审委员会根据方案及措施进行评审： （1）每项内容实施方案全面科学、针对性强、可实施性强，得20分； （2）每有一处缺项扣4分，（3）每项有缺陷的扣0-4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根据投标人本项目制定具体可行的售后服务方案，包括： ①售后服务范围及保障措施 ②响应方式 ③售后响应时间 ④质量问题的处理及补救措施。 评审标准： （1）每项内容实施方案全面科学、针对性强、可实施性强，得16分； （2）每有一处缺项扣4分，（3）每项有缺陷的扣0-4分（缺陷是指：缺陷是指：内容粗略、逻辑混乱、描述过于简单、与项目特点不匹配、凭空编造、逻辑漏洞、出现常识性错误、存在不适用项目实际情况的情形或只有标题没有实质性内容等） （4）不提供不得分。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质量保证1</w:t>
            </w:r>
          </w:p>
        </w:tc>
        <w:tc>
          <w:tcPr>
            <w:tcW w:type="dxa" w:w="2492"/>
          </w:tcPr>
          <w:p>
            <w:pPr>
              <w:pStyle w:val="null3"/>
            </w:pPr>
            <w:r>
              <w:rPr>
                <w:rFonts w:ascii="仿宋_GB2312" w:hAnsi="仿宋_GB2312" w:cs="仿宋_GB2312" w:eastAsia="仿宋_GB2312"/>
              </w:rPr>
              <w:t>根据投标产品响应内容是否齐全，选品是否合理，规格是否明确，质量要求是否满足采购要求及医院临床应用需求进行打分。 （1）投标产品响应内容齐全、选品合理、规格明确、质量完全满足采购要求及采购人临床应用需求得4分； （2）投标产品响应内容基本齐全、选品基本合理、规格基本响应、质量基本满足采购要求及采购人临床应用需求得2分； （3）投标产品响应内容基本齐全、选品质量一般得1分； （4）投标产品响应内容不齐全、选型不合理、规格明确、功能、参数不满足采购要求及医院临床应用需求得0分。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质量保证2</w:t>
            </w:r>
          </w:p>
        </w:tc>
        <w:tc>
          <w:tcPr>
            <w:tcW w:type="dxa" w:w="2492"/>
          </w:tcPr>
          <w:p>
            <w:pPr>
              <w:pStyle w:val="null3"/>
            </w:pPr>
            <w:r>
              <w:rPr>
                <w:rFonts w:ascii="仿宋_GB2312" w:hAnsi="仿宋_GB2312" w:cs="仿宋_GB2312" w:eastAsia="仿宋_GB2312"/>
              </w:rPr>
              <w:t>①投标人所提供中药饮片质量溯源保证措施有得3分；未提供不得分。 ②制造商已注册陕西省中药材追溯服务平台得1分，提供加盖公章的网上截图；未提供不得分。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投标人自2023年3月1日（以合同签订时间为准）至今有类似项目的业绩，每提供一份得2分，满分10分。注：提供相对应的供货合同，未提供或提供的证件不齐全、不清晰不得分。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1.通过符合性审查的投标报价为有效投标价。对符合政策性扣减的有效投标报价进行政策性扣减，并依据扣减后的价格（评审价格）进行价格评审。 2.最低评标价为评标基准价，得30分。 3.按（评标基准价/评标价×30）的公式计算价格得分。 4.本项目以单价之和进行价格评审。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详见附件：一次单价汇总表.docx</w:t>
      </w:r>
    </w:p>
    <w:p>
      <w:pPr>
        <w:pStyle w:val="null3"/>
        <w:ind w:firstLine="960"/>
      </w:pPr>
      <w:r>
        <w:rPr>
          <w:rFonts w:ascii="仿宋_GB2312" w:hAnsi="仿宋_GB2312" w:cs="仿宋_GB2312" w:eastAsia="仿宋_GB2312"/>
        </w:rPr>
        <w:t>详见附件：商务条款偏离表及投入人员汇总.docx</w:t>
      </w:r>
    </w:p>
    <w:p>
      <w:pPr>
        <w:pStyle w:val="null3"/>
        <w:ind w:firstLine="960"/>
      </w:pPr>
      <w:r>
        <w:rPr>
          <w:rFonts w:ascii="仿宋_GB2312" w:hAnsi="仿宋_GB2312" w:cs="仿宋_GB2312" w:eastAsia="仿宋_GB2312"/>
        </w:rPr>
        <w:t>详见附件：磋商资格证明文件.docx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