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79A89">
      <w:pPr>
        <w:pStyle w:val="4"/>
        <w:jc w:val="center"/>
        <w:outlineLvl w:val="1"/>
        <w:rPr>
          <w:rFonts w:hint="eastAsia" w:ascii="仿宋" w:hAnsi="仿宋" w:eastAsia="仿宋" w:cs="仿宋"/>
        </w:rPr>
      </w:pPr>
      <w:r>
        <w:rPr>
          <w:rFonts w:hint="eastAsia" w:ascii="仿宋" w:hAnsi="仿宋" w:eastAsia="仿宋" w:cs="仿宋"/>
          <w:b/>
          <w:sz w:val="36"/>
        </w:rPr>
        <w:t>拟签订采购合同文本</w:t>
      </w:r>
    </w:p>
    <w:p w14:paraId="123FB3CE">
      <w:pPr>
        <w:spacing w:line="580" w:lineRule="exact"/>
        <w:ind w:firstLine="723" w:firstLineChars="200"/>
        <w:jc w:val="center"/>
        <w:rPr>
          <w:rFonts w:hint="eastAsia" w:ascii="仿宋" w:hAnsi="仿宋" w:eastAsia="仿宋" w:cs="仿宋"/>
          <w:color w:val="000000"/>
          <w:sz w:val="24"/>
          <w:szCs w:val="24"/>
          <w:lang w:eastAsia="zh-CN"/>
        </w:rPr>
      </w:pPr>
      <w:r>
        <w:rPr>
          <w:rFonts w:hint="eastAsia" w:ascii="仿宋" w:hAnsi="仿宋" w:eastAsia="仿宋" w:cs="仿宋"/>
          <w:b/>
          <w:bCs/>
          <w:sz w:val="36"/>
          <w:szCs w:val="36"/>
        </w:rPr>
        <w:t>合同条款</w:t>
      </w:r>
      <w:r>
        <w:rPr>
          <w:rFonts w:hint="eastAsia" w:ascii="仿宋" w:hAnsi="仿宋" w:eastAsia="仿宋" w:cs="仿宋"/>
          <w:b/>
          <w:bCs/>
          <w:sz w:val="36"/>
          <w:szCs w:val="36"/>
          <w:lang w:eastAsia="zh-CN"/>
        </w:rPr>
        <w:t>（</w:t>
      </w:r>
      <w:r>
        <w:rPr>
          <w:rFonts w:hint="eastAsia" w:ascii="仿宋" w:hAnsi="仿宋" w:eastAsia="仿宋" w:cs="仿宋"/>
          <w:b/>
          <w:bCs/>
          <w:sz w:val="36"/>
          <w:szCs w:val="36"/>
          <w:lang w:val="en-US" w:eastAsia="zh-CN"/>
        </w:rPr>
        <w:t>仅供参考</w:t>
      </w:r>
      <w:r>
        <w:rPr>
          <w:rFonts w:hint="eastAsia" w:ascii="仿宋" w:hAnsi="仿宋" w:eastAsia="仿宋" w:cs="仿宋"/>
          <w:b/>
          <w:bCs/>
          <w:sz w:val="36"/>
          <w:szCs w:val="36"/>
          <w:lang w:eastAsia="zh-CN"/>
        </w:rPr>
        <w:t>）</w:t>
      </w:r>
    </w:p>
    <w:p w14:paraId="70494F98">
      <w:pPr>
        <w:spacing w:line="580" w:lineRule="exact"/>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甲</w:t>
      </w:r>
      <w:r>
        <w:rPr>
          <w:rFonts w:hint="eastAsia" w:ascii="仿宋" w:hAnsi="仿宋" w:eastAsia="仿宋" w:cs="仿宋"/>
          <w:sz w:val="24"/>
          <w:szCs w:val="24"/>
        </w:rPr>
        <w:t>方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756B13A2">
      <w:p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u w:val="single"/>
        </w:rPr>
        <w:t xml:space="preserve">                 </w:t>
      </w:r>
    </w:p>
    <w:p w14:paraId="3380D6D3">
      <w:p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为保障甲乙双方合法权益，规范</w:t>
      </w:r>
      <w:r>
        <w:rPr>
          <w:rFonts w:hint="eastAsia" w:ascii="仿宋" w:hAnsi="仿宋" w:eastAsia="仿宋" w:cs="仿宋"/>
          <w:sz w:val="24"/>
          <w:szCs w:val="24"/>
          <w:lang w:val="en-US" w:eastAsia="zh-CN"/>
        </w:rPr>
        <w:t>药品饮片</w:t>
      </w:r>
      <w:r>
        <w:rPr>
          <w:rFonts w:hint="eastAsia" w:ascii="仿宋" w:hAnsi="仿宋" w:eastAsia="仿宋" w:cs="仿宋"/>
          <w:sz w:val="24"/>
          <w:szCs w:val="24"/>
        </w:rPr>
        <w:t>采购、配送与结算，并以契约形式明确双方的职责和义务，根据《中华人民共和国政府采购法》、《中华人民共和国民法典》等规定，在平等、自愿、协商的基础上，签订本合同。</w:t>
      </w:r>
    </w:p>
    <w:p w14:paraId="78532C8F">
      <w:p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第一条  合同内容</w:t>
      </w:r>
    </w:p>
    <w:tbl>
      <w:tblPr>
        <w:tblStyle w:val="2"/>
        <w:tblW w:w="81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7"/>
        <w:gridCol w:w="2406"/>
        <w:gridCol w:w="1872"/>
        <w:gridCol w:w="1336"/>
        <w:gridCol w:w="1336"/>
      </w:tblGrid>
      <w:tr w14:paraId="37D6D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exact"/>
          <w:jc w:val="center"/>
        </w:trPr>
        <w:tc>
          <w:tcPr>
            <w:tcW w:w="1167" w:type="dxa"/>
            <w:vAlign w:val="center"/>
          </w:tcPr>
          <w:p w14:paraId="6A456CB5">
            <w:pPr>
              <w:spacing w:line="400" w:lineRule="exact"/>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序号</w:t>
            </w:r>
          </w:p>
        </w:tc>
        <w:tc>
          <w:tcPr>
            <w:tcW w:w="2406" w:type="dxa"/>
            <w:vAlign w:val="center"/>
          </w:tcPr>
          <w:p w14:paraId="43F1096E">
            <w:pPr>
              <w:spacing w:line="400" w:lineRule="exact"/>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lang w:val="en-US" w:eastAsia="zh-CN"/>
                <w14:textFill>
                  <w14:solidFill>
                    <w14:schemeClr w14:val="tx1"/>
                  </w14:solidFill>
                </w14:textFill>
              </w:rPr>
              <w:t>饮片</w:t>
            </w:r>
            <w:r>
              <w:rPr>
                <w:rFonts w:hint="eastAsia" w:ascii="仿宋" w:hAnsi="仿宋" w:eastAsia="仿宋" w:cs="仿宋"/>
                <w:b/>
                <w:color w:val="000000" w:themeColor="text1"/>
                <w:sz w:val="24"/>
                <w14:textFill>
                  <w14:solidFill>
                    <w14:schemeClr w14:val="tx1"/>
                  </w14:solidFill>
                </w14:textFill>
              </w:rPr>
              <w:t>名称</w:t>
            </w:r>
          </w:p>
        </w:tc>
        <w:tc>
          <w:tcPr>
            <w:tcW w:w="1872" w:type="dxa"/>
            <w:vAlign w:val="center"/>
          </w:tcPr>
          <w:p w14:paraId="2CC6CEA8">
            <w:pPr>
              <w:spacing w:line="400" w:lineRule="exact"/>
              <w:jc w:val="center"/>
              <w:rPr>
                <w:rFonts w:hint="eastAsia" w:ascii="仿宋" w:hAnsi="仿宋" w:eastAsia="仿宋" w:cs="仿宋"/>
                <w:b/>
                <w:color w:val="000000" w:themeColor="text1"/>
                <w:sz w:val="24"/>
                <w:lang w:eastAsia="zh-CN"/>
                <w14:textFill>
                  <w14:solidFill>
                    <w14:schemeClr w14:val="tx1"/>
                  </w14:solidFill>
                </w14:textFill>
              </w:rPr>
            </w:pPr>
            <w:r>
              <w:rPr>
                <w:rFonts w:hint="eastAsia" w:ascii="仿宋" w:hAnsi="仿宋" w:eastAsia="仿宋" w:cs="仿宋"/>
                <w:b/>
                <w:color w:val="000000" w:themeColor="text1"/>
                <w:sz w:val="24"/>
                <w:lang w:val="en-US" w:eastAsia="zh-CN"/>
                <w14:textFill>
                  <w14:solidFill>
                    <w14:schemeClr w14:val="tx1"/>
                  </w14:solidFill>
                </w14:textFill>
              </w:rPr>
              <w:t>规格</w:t>
            </w:r>
          </w:p>
        </w:tc>
        <w:tc>
          <w:tcPr>
            <w:tcW w:w="1336" w:type="dxa"/>
            <w:vAlign w:val="center"/>
          </w:tcPr>
          <w:p w14:paraId="1A11498F">
            <w:pPr>
              <w:spacing w:line="400" w:lineRule="exact"/>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产地</w:t>
            </w:r>
          </w:p>
        </w:tc>
        <w:tc>
          <w:tcPr>
            <w:tcW w:w="1336" w:type="dxa"/>
            <w:vAlign w:val="center"/>
          </w:tcPr>
          <w:p w14:paraId="3743F589">
            <w:pPr>
              <w:spacing w:line="400" w:lineRule="exact"/>
              <w:jc w:val="center"/>
              <w:rPr>
                <w:rFonts w:hint="eastAsia"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sz w:val="24"/>
                <w14:textFill>
                  <w14:solidFill>
                    <w14:schemeClr w14:val="tx1"/>
                  </w14:solidFill>
                </w14:textFill>
              </w:rPr>
              <w:t>单价</w:t>
            </w:r>
          </w:p>
        </w:tc>
      </w:tr>
      <w:tr w14:paraId="487E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167" w:type="dxa"/>
            <w:vAlign w:val="center"/>
          </w:tcPr>
          <w:p w14:paraId="6B7218EE">
            <w:pPr>
              <w:adjustRightInd w:val="0"/>
              <w:snapToGrid w:val="0"/>
              <w:jc w:val="center"/>
              <w:rPr>
                <w:rFonts w:hint="eastAsia"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2406" w:type="dxa"/>
            <w:vAlign w:val="center"/>
          </w:tcPr>
          <w:p w14:paraId="3F83BAA2">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c>
          <w:tcPr>
            <w:tcW w:w="1872" w:type="dxa"/>
            <w:vAlign w:val="center"/>
          </w:tcPr>
          <w:p w14:paraId="038D4482">
            <w:pPr>
              <w:spacing w:line="400" w:lineRule="exact"/>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5022969B">
            <w:pPr>
              <w:spacing w:line="400" w:lineRule="exact"/>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5851F9F7">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r>
      <w:tr w14:paraId="1E34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exact"/>
          <w:jc w:val="center"/>
        </w:trPr>
        <w:tc>
          <w:tcPr>
            <w:tcW w:w="1167" w:type="dxa"/>
            <w:vAlign w:val="center"/>
          </w:tcPr>
          <w:p w14:paraId="10BDCD21">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c>
          <w:tcPr>
            <w:tcW w:w="2406" w:type="dxa"/>
            <w:vAlign w:val="center"/>
          </w:tcPr>
          <w:p w14:paraId="4B1F8B4F">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c>
          <w:tcPr>
            <w:tcW w:w="1872" w:type="dxa"/>
            <w:vAlign w:val="center"/>
          </w:tcPr>
          <w:p w14:paraId="485DD729">
            <w:pPr>
              <w:spacing w:line="400" w:lineRule="exact"/>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1F3AA1D4">
            <w:pPr>
              <w:spacing w:line="400" w:lineRule="exact"/>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4B2D332F">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r>
      <w:tr w14:paraId="63F0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167" w:type="dxa"/>
            <w:vAlign w:val="center"/>
          </w:tcPr>
          <w:p w14:paraId="420A051D">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c>
          <w:tcPr>
            <w:tcW w:w="2406" w:type="dxa"/>
            <w:vAlign w:val="center"/>
          </w:tcPr>
          <w:p w14:paraId="709B6B1C">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c>
          <w:tcPr>
            <w:tcW w:w="1872" w:type="dxa"/>
            <w:vAlign w:val="center"/>
          </w:tcPr>
          <w:p w14:paraId="29A09A3A">
            <w:pPr>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6452D4DD">
            <w:pPr>
              <w:spacing w:line="400" w:lineRule="exact"/>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2C0A5770">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r>
      <w:tr w14:paraId="0076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jc w:val="center"/>
        </w:trPr>
        <w:tc>
          <w:tcPr>
            <w:tcW w:w="1167" w:type="dxa"/>
            <w:vAlign w:val="center"/>
          </w:tcPr>
          <w:p w14:paraId="0A5E28CB">
            <w:pPr>
              <w:adjustRightInd w:val="0"/>
              <w:snapToGrid w:val="0"/>
              <w:jc w:val="center"/>
              <w:rPr>
                <w:rFonts w:hint="default" w:ascii="仿宋" w:hAnsi="仿宋" w:eastAsia="仿宋" w:cs="仿宋"/>
                <w:color w:val="000000" w:themeColor="text1"/>
                <w:szCs w:val="21"/>
                <w:lang w:val="en-US" w:eastAsia="zh-CN"/>
                <w14:textFill>
                  <w14:solidFill>
                    <w14:schemeClr w14:val="tx1"/>
                  </w14:solidFill>
                </w14:textFill>
              </w:rPr>
            </w:pPr>
            <w:r>
              <w:rPr>
                <w:rFonts w:hint="eastAsia" w:ascii="仿宋" w:hAnsi="仿宋" w:eastAsia="仿宋" w:cs="仿宋"/>
                <w:color w:val="000000" w:themeColor="text1"/>
                <w:szCs w:val="21"/>
                <w:lang w:val="en-US" w:eastAsia="zh-CN"/>
                <w14:textFill>
                  <w14:solidFill>
                    <w14:schemeClr w14:val="tx1"/>
                  </w14:solidFill>
                </w14:textFill>
              </w:rPr>
              <w:t>...</w:t>
            </w:r>
          </w:p>
        </w:tc>
        <w:tc>
          <w:tcPr>
            <w:tcW w:w="2406" w:type="dxa"/>
            <w:vAlign w:val="center"/>
          </w:tcPr>
          <w:p w14:paraId="3F43EEEA">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c>
          <w:tcPr>
            <w:tcW w:w="1872" w:type="dxa"/>
            <w:vAlign w:val="center"/>
          </w:tcPr>
          <w:p w14:paraId="040686CC">
            <w:pPr>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11585514">
            <w:pPr>
              <w:spacing w:line="400" w:lineRule="exact"/>
              <w:jc w:val="center"/>
              <w:rPr>
                <w:rFonts w:hint="eastAsia" w:ascii="仿宋" w:hAnsi="仿宋" w:eastAsia="仿宋" w:cs="仿宋"/>
                <w:color w:val="000000" w:themeColor="text1"/>
                <w:szCs w:val="21"/>
                <w14:textFill>
                  <w14:solidFill>
                    <w14:schemeClr w14:val="tx1"/>
                  </w14:solidFill>
                </w14:textFill>
              </w:rPr>
            </w:pPr>
          </w:p>
        </w:tc>
        <w:tc>
          <w:tcPr>
            <w:tcW w:w="1336" w:type="dxa"/>
            <w:vAlign w:val="center"/>
          </w:tcPr>
          <w:p w14:paraId="725B8A68">
            <w:pPr>
              <w:adjustRightInd w:val="0"/>
              <w:snapToGrid w:val="0"/>
              <w:jc w:val="center"/>
              <w:rPr>
                <w:rFonts w:hint="eastAsia" w:ascii="仿宋" w:hAnsi="仿宋" w:eastAsia="仿宋" w:cs="仿宋"/>
                <w:color w:val="000000" w:themeColor="text1"/>
                <w:szCs w:val="21"/>
                <w14:textFill>
                  <w14:solidFill>
                    <w14:schemeClr w14:val="tx1"/>
                  </w14:solidFill>
                </w14:textFill>
              </w:rPr>
            </w:pPr>
          </w:p>
        </w:tc>
      </w:tr>
    </w:tbl>
    <w:p w14:paraId="0D7AF661">
      <w:pPr>
        <w:numPr>
          <w:ilvl w:val="0"/>
          <w:numId w:val="1"/>
        </w:numPr>
        <w:spacing w:line="58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支付方式和</w:t>
      </w:r>
      <w:r>
        <w:rPr>
          <w:rFonts w:hint="eastAsia" w:ascii="仿宋" w:hAnsi="仿宋" w:eastAsia="仿宋" w:cs="仿宋"/>
          <w:sz w:val="24"/>
          <w:szCs w:val="24"/>
        </w:rPr>
        <w:t>购销方式</w:t>
      </w:r>
    </w:p>
    <w:p w14:paraId="1E8E33C4">
      <w:pPr>
        <w:numPr>
          <w:ilvl w:val="0"/>
          <w:numId w:val="0"/>
        </w:num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乙方根据甲方的计划采购单，按时供货，货物到达指定地点验收合格后，据实结账，乙方提供相应的发票，甲方收到后，提交财务审核，审核结束后 ，达到付款条件起 10 日内，支付合同总金额的 100.00%。</w:t>
      </w:r>
      <w:bookmarkStart w:id="0" w:name="_GoBack"/>
      <w:bookmarkEnd w:id="0"/>
    </w:p>
    <w:p w14:paraId="6C772A71">
      <w:pPr>
        <w:spacing w:line="580" w:lineRule="exact"/>
        <w:ind w:firstLine="400" w:firstLineChars="200"/>
        <w:rPr>
          <w:rFonts w:hint="eastAsia" w:ascii="仿宋" w:hAnsi="仿宋" w:eastAsia="仿宋" w:cs="仿宋"/>
          <w:sz w:val="24"/>
          <w:szCs w:val="24"/>
        </w:rPr>
      </w:pPr>
      <w:r>
        <w:rPr>
          <w:rFonts w:hint="eastAsia" w:ascii="仿宋" w:hAnsi="仿宋" w:eastAsia="仿宋" w:cs="仿宋"/>
          <w:spacing w:val="-20"/>
          <w:sz w:val="24"/>
          <w:szCs w:val="24"/>
        </w:rPr>
        <w:t>（一）</w:t>
      </w:r>
      <w:r>
        <w:rPr>
          <w:rFonts w:hint="eastAsia" w:ascii="仿宋" w:hAnsi="仿宋" w:eastAsia="仿宋" w:cs="仿宋"/>
          <w:spacing w:val="-10"/>
          <w:sz w:val="24"/>
          <w:szCs w:val="24"/>
        </w:rPr>
        <w:t>甲方通过政府</w:t>
      </w:r>
      <w:r>
        <w:rPr>
          <w:rFonts w:hint="eastAsia" w:ascii="仿宋" w:hAnsi="仿宋" w:eastAsia="仿宋" w:cs="仿宋"/>
          <w:sz w:val="24"/>
          <w:szCs w:val="24"/>
        </w:rPr>
        <w:t>采购确定购买的药品。有下列情形之一的除外：</w:t>
      </w:r>
    </w:p>
    <w:p w14:paraId="3A6BD2D7">
      <w:p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1、因战争、自然灾害等，需进行紧急采购的；</w:t>
      </w:r>
    </w:p>
    <w:p w14:paraId="202C0B7A">
      <w:p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2、发生重大疫情、重大事故等，需进行紧急采购的；</w:t>
      </w:r>
    </w:p>
    <w:p w14:paraId="1ED8651C">
      <w:p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3、国务院、省级人民政府另有规定的。</w:t>
      </w:r>
    </w:p>
    <w:p w14:paraId="73ABB2B6">
      <w:pPr>
        <w:spacing w:line="58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（二）甲方将定单发送给乙方，乙方确认订单并按照约定配送药品。甲乙双方确认的订单为本合同的重要组成部分。</w:t>
      </w:r>
    </w:p>
    <w:p w14:paraId="0238FF1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（三）甲方收到乙方配送的药品，经验收合格后进行确认，并按约定方式及时间向乙方付款。</w:t>
      </w:r>
    </w:p>
    <w:p w14:paraId="3D1D4892">
      <w:pPr>
        <w:spacing w:line="5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第三条  质量要求</w:t>
      </w:r>
    </w:p>
    <w:p w14:paraId="63EAFB8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（一）乙方应按照《药品生产质量管理规范》或《药品经营质量管理规范》要求，建立药品质量管理体系，设置质量管理机构，制定质量管理制度，对配送药品质量负全责。</w:t>
      </w:r>
    </w:p>
    <w:p w14:paraId="57B8811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乙方提供的药品必须符合国家药品质量标准和有关要求，并提供其配送药品的合法有效证件。乙方提供的中药饮片必须符合《中华人民共和国药典》（2020年版）、《陕西省中药饮片标准》及其他相关的中药饮片标准，经检验质量合格。应随货附加盖乙方单位公章的检验报告书（按要求全检），对特许生产和经营的中药饮片应符合国家相关文件要求。</w:t>
      </w:r>
    </w:p>
    <w:p w14:paraId="1EE09CB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（三）乙方应当确保与甲方成交的药品，不存在第三方提出的侵犯其专利权、商标权或保护期、以及侵犯第三方权利的其他情形。</w:t>
      </w:r>
    </w:p>
    <w:p w14:paraId="478172C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（四）如遇第三方查扣或抽检，乙方对查扣或抽检药品负全责。</w:t>
      </w:r>
    </w:p>
    <w:p w14:paraId="0FEC32D5">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rPr>
        <w:t>第四条 药品包装标准</w:t>
      </w:r>
      <w:r>
        <w:rPr>
          <w:rFonts w:hint="eastAsia" w:ascii="仿宋" w:hAnsi="仿宋" w:eastAsia="仿宋" w:cs="仿宋"/>
          <w:sz w:val="24"/>
          <w:szCs w:val="24"/>
          <w:lang w:val="zh-CN"/>
        </w:rPr>
        <w:t xml:space="preserve"> </w:t>
      </w:r>
    </w:p>
    <w:p w14:paraId="7A8FFC3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（一）除非对包装另有规定，乙方提供全部药品应按国家标准保护措施进行包装，防止药品在转运中损坏或变质，确保药品安全无损运抵指定地点。</w:t>
      </w:r>
    </w:p>
    <w:p w14:paraId="4608ABE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包装标记和包装箱内外的单据应符合相关要求。所供应的中药饮片的包装及包装材料必须符合国家有关规定的要求，且产品外包装标签上必须标示有品名、规格、产地、等级、生产企业、执行标准、生产批号、生产日期并附质量合格标志。</w:t>
      </w:r>
    </w:p>
    <w:p w14:paraId="44BB26A9">
      <w:pPr>
        <w:spacing w:line="5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第五条 药品验收管理</w:t>
      </w:r>
    </w:p>
    <w:p w14:paraId="7738AF2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甲方在接收药品时，应对药品进行验货确认，对不符合药品质量标准、运储包装要求或合同要求的其他情形时，甲方有权拒绝接收。投标时投标人提供的样品作为该企业供货质量的比对依据，且作为供货验收的唯一性状鉴别标准（含水量除外），对不符合质量要求的，甲方有权拒绝接收，乙方应在3天内进行更换、补充、并不得影响甲方的临床用药。否则，甲方有权终止合同并要求乙方对其所造成的损失进行赔偿。</w:t>
      </w:r>
    </w:p>
    <w:p w14:paraId="08C316D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甲方设有中药饮片质量控制小组，定期对饮片进行全面质量检查。发现乙方配送假药一次者，则取消其配送资格，并报送当地食品药品监督管理局；单品种二次配送不合格者，取消其该品种的配送资格三个月。同品种三次出现不合格者，取消其配送资格。</w:t>
      </w:r>
    </w:p>
    <w:p w14:paraId="3A9B641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如果甲方在临床使用中发现药品不符合质量要求（含出现严重的临床不良反应时），需要进行药品质量检验，应及时以书面形式把质量检验要求通知乙方。如果检验结果药品存在质量问题，则检验费用由乙方承担，乙方应在3天内进行更换、并不得影响甲方的临床用药。否则，甲方有权终止合同并要求乙方对其所造成的损失进行赔偿。药品质量检验在甲方所在地药检部门进行。</w:t>
      </w:r>
    </w:p>
    <w:p w14:paraId="180F4319">
      <w:pPr>
        <w:spacing w:line="560" w:lineRule="exact"/>
        <w:ind w:firstLine="600" w:firstLineChars="250"/>
        <w:rPr>
          <w:rFonts w:hint="eastAsia" w:ascii="仿宋" w:hAnsi="仿宋" w:eastAsia="仿宋" w:cs="仿宋"/>
          <w:sz w:val="24"/>
          <w:szCs w:val="24"/>
        </w:rPr>
      </w:pPr>
      <w:r>
        <w:rPr>
          <w:rFonts w:hint="eastAsia" w:ascii="仿宋" w:hAnsi="仿宋" w:eastAsia="仿宋" w:cs="仿宋"/>
          <w:sz w:val="24"/>
          <w:szCs w:val="24"/>
        </w:rPr>
        <w:t>（四）药品出现质量问题（包装、标签、等级、内在质量问题），乙方必须收回并更换合格药品；由于药检部门抽检出现药品不合格的，乙方必须负经济和法律责任；如因药品质量问题引起药政管理方面的问题，由乙方负连带责任；由于药品质量引起医疗纠纷，乙方必须负连带责任。</w:t>
      </w:r>
    </w:p>
    <w:p w14:paraId="131F4E2B">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rPr>
        <w:t>第六条  交货时间及地点</w:t>
      </w:r>
      <w:r>
        <w:rPr>
          <w:rFonts w:hint="eastAsia" w:ascii="仿宋" w:hAnsi="仿宋" w:eastAsia="仿宋" w:cs="仿宋"/>
          <w:sz w:val="24"/>
          <w:szCs w:val="24"/>
          <w:lang w:val="zh-CN"/>
        </w:rPr>
        <w:t xml:space="preserve"> </w:t>
      </w:r>
    </w:p>
    <w:p w14:paraId="0045B5D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（一）乙方配送药品的时间和数量必须严格按照甲方订单执行。急救药品必须按照临床需要及时送到；一般药品配送时间原则上不超过24小时，最长不超过48小时，节假日照常配送。</w:t>
      </w:r>
    </w:p>
    <w:p w14:paraId="061C673E">
      <w:pPr>
        <w:spacing w:line="560" w:lineRule="exact"/>
        <w:ind w:firstLine="480" w:firstLineChars="200"/>
        <w:rPr>
          <w:rFonts w:hint="eastAsia" w:ascii="仿宋" w:hAnsi="仿宋" w:eastAsia="仿宋" w:cs="仿宋"/>
          <w:sz w:val="24"/>
          <w:szCs w:val="24"/>
          <w:lang w:val="zh-CN"/>
        </w:rPr>
      </w:pPr>
      <w:r>
        <w:rPr>
          <w:rFonts w:hint="eastAsia" w:ascii="仿宋" w:hAnsi="仿宋" w:eastAsia="仿宋" w:cs="仿宋"/>
          <w:sz w:val="24"/>
          <w:szCs w:val="24"/>
        </w:rPr>
        <w:t>（二）交货地点：</w:t>
      </w:r>
      <w:r>
        <w:rPr>
          <w:rFonts w:hint="eastAsia" w:ascii="仿宋" w:hAnsi="仿宋" w:eastAsia="仿宋" w:cs="仿宋"/>
          <w:sz w:val="24"/>
          <w:szCs w:val="24"/>
          <w:lang w:val="en-US" w:eastAsia="zh-CN"/>
        </w:rPr>
        <w:t>甲方指定地点</w:t>
      </w:r>
      <w:r>
        <w:rPr>
          <w:rFonts w:hint="eastAsia" w:ascii="仿宋" w:hAnsi="仿宋" w:eastAsia="仿宋" w:cs="仿宋"/>
          <w:sz w:val="24"/>
          <w:szCs w:val="24"/>
        </w:rPr>
        <w:t>。</w:t>
      </w:r>
      <w:r>
        <w:rPr>
          <w:rFonts w:hint="eastAsia" w:ascii="仿宋" w:hAnsi="仿宋" w:eastAsia="仿宋" w:cs="仿宋"/>
          <w:sz w:val="24"/>
          <w:szCs w:val="24"/>
          <w:lang w:val="zh-CN"/>
        </w:rPr>
        <w:t xml:space="preserve"> </w:t>
      </w:r>
    </w:p>
    <w:p w14:paraId="1ACADAAC">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rPr>
        <w:t>第七条  结算方式及时间</w:t>
      </w:r>
      <w:r>
        <w:rPr>
          <w:rFonts w:hint="eastAsia" w:ascii="仿宋" w:hAnsi="仿宋" w:eastAsia="仿宋" w:cs="仿宋"/>
          <w:sz w:val="24"/>
          <w:szCs w:val="24"/>
          <w:lang w:val="zh-CN"/>
        </w:rPr>
        <w:t xml:space="preserve"> </w:t>
      </w:r>
    </w:p>
    <w:p w14:paraId="50777E9C">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（一）乙方应按有关要求向甲方提交对已交易药品的发票等相关单据，以及合同规定的其他义务已经履行的证明。 </w:t>
      </w:r>
    </w:p>
    <w:p w14:paraId="3CB5213F">
      <w:pPr>
        <w:spacing w:line="560" w:lineRule="exact"/>
        <w:rPr>
          <w:rFonts w:hint="eastAsia" w:ascii="仿宋" w:hAnsi="仿宋" w:eastAsia="仿宋" w:cs="仿宋"/>
          <w:sz w:val="24"/>
          <w:szCs w:val="24"/>
        </w:rPr>
      </w:pPr>
      <w:r>
        <w:rPr>
          <w:rFonts w:hint="eastAsia" w:ascii="仿宋" w:hAnsi="仿宋" w:eastAsia="仿宋" w:cs="仿宋"/>
          <w:sz w:val="24"/>
          <w:szCs w:val="24"/>
        </w:rPr>
        <w:t xml:space="preserve">    （二）乙方向甲方提供的发票和有关单据不得违反国家税务机关等相关部门的规定，否则甲方有权拒付相应货款，乙方承担由此给甲方带来的一切损失。</w:t>
      </w:r>
    </w:p>
    <w:p w14:paraId="61E946D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（三）甲方验货确认后，核对交易单据及明细无误后，在收到乙方正式发票之日起按约定方式和时间向乙方付款。</w:t>
      </w:r>
    </w:p>
    <w:p w14:paraId="68EF2F18">
      <w:pPr>
        <w:spacing w:line="560" w:lineRule="exact"/>
        <w:ind w:firstLine="480" w:firstLineChars="200"/>
        <w:rPr>
          <w:rFonts w:hint="eastAsia" w:ascii="仿宋" w:hAnsi="仿宋" w:eastAsia="仿宋" w:cs="仿宋"/>
          <w:sz w:val="24"/>
          <w:szCs w:val="24"/>
          <w:lang w:val="zh-CN"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四</w:t>
      </w:r>
      <w:r>
        <w:rPr>
          <w:rFonts w:hint="eastAsia" w:ascii="仿宋" w:hAnsi="仿宋" w:eastAsia="仿宋" w:cs="仿宋"/>
          <w:sz w:val="24"/>
          <w:szCs w:val="24"/>
          <w:lang w:eastAsia="zh-CN"/>
        </w:rPr>
        <w:t>）</w:t>
      </w:r>
      <w:r>
        <w:rPr>
          <w:rFonts w:hint="eastAsia" w:ascii="仿宋" w:hAnsi="仿宋" w:eastAsia="仿宋" w:cs="仿宋"/>
          <w:sz w:val="24"/>
          <w:szCs w:val="24"/>
          <w:lang w:val="zh-CN" w:eastAsia="zh-CN"/>
        </w:rPr>
        <w:t>乙方按照所供饮片中标单价×实际数量结算，开出相对应的增值税专用发票，甲方在收到乙方正式发票之日起</w:t>
      </w:r>
      <w:r>
        <w:rPr>
          <w:rFonts w:hint="eastAsia" w:ascii="仿宋" w:hAnsi="仿宋" w:eastAsia="仿宋" w:cs="仿宋"/>
          <w:sz w:val="24"/>
          <w:szCs w:val="24"/>
          <w:lang w:val="en-US" w:eastAsia="zh-CN"/>
        </w:rPr>
        <w:t>30天内</w:t>
      </w:r>
      <w:r>
        <w:rPr>
          <w:rFonts w:hint="eastAsia" w:ascii="仿宋" w:hAnsi="仿宋" w:eastAsia="仿宋" w:cs="仿宋"/>
          <w:sz w:val="24"/>
          <w:szCs w:val="24"/>
          <w:lang w:val="zh-CN" w:eastAsia="zh-CN"/>
        </w:rPr>
        <w:t>经财务处以转账形式给付货款。</w:t>
      </w:r>
    </w:p>
    <w:p w14:paraId="4D30ACF2">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rPr>
        <w:t>第八条  合同解除条件及处理方式</w:t>
      </w:r>
      <w:r>
        <w:rPr>
          <w:rFonts w:hint="eastAsia" w:ascii="仿宋" w:hAnsi="仿宋" w:eastAsia="仿宋" w:cs="仿宋"/>
          <w:sz w:val="24"/>
          <w:szCs w:val="24"/>
          <w:lang w:val="zh-CN"/>
        </w:rPr>
        <w:t xml:space="preserve"> </w:t>
      </w:r>
    </w:p>
    <w:p w14:paraId="1E2F01C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（一）违约终止合同 </w:t>
      </w:r>
    </w:p>
    <w:p w14:paraId="237AB85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发生下列情况，甲方可向乙方发出书面通知书，提出部分或全部终止合同。</w:t>
      </w:r>
    </w:p>
    <w:p w14:paraId="7F23D2E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1、乙方未能在合同规定的限期或甲方同意延长的限期内提供部分或全部药品；</w:t>
      </w:r>
    </w:p>
    <w:p w14:paraId="6B44994A">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2、乙方未能履行合同规定的义务；</w:t>
      </w:r>
    </w:p>
    <w:p w14:paraId="4727A6D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3、乙方在本合同的实施过程中有违法、违规行为。 </w:t>
      </w:r>
    </w:p>
    <w:p w14:paraId="5B87EE8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（二）乙方破产终止合同</w:t>
      </w:r>
    </w:p>
    <w:p w14:paraId="6ADE901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如果乙方破产，甲方可在任何时候以书面形式通知乙方，提出终止合同而不给乙方补偿。该终止合同将不损害或影响甲方已经采取或将要采取的任何行动或补救措施的权利。</w:t>
      </w:r>
    </w:p>
    <w:p w14:paraId="254B356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（三）解除合同后的处理方式</w:t>
      </w:r>
    </w:p>
    <w:p w14:paraId="42470A9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甲方根据上述规定，终止了全部或部分合同后，有权要求乙方继续执行合同中未终止的部分。 </w:t>
      </w:r>
    </w:p>
    <w:p w14:paraId="0E4477BD">
      <w:pPr>
        <w:spacing w:line="5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 xml:space="preserve">第九条 违约责任 </w:t>
      </w:r>
    </w:p>
    <w:p w14:paraId="2AA589F6">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lang w:val="zh-CN"/>
        </w:rPr>
        <w:t>（一）按《</w:t>
      </w:r>
      <w:r>
        <w:rPr>
          <w:rFonts w:hint="eastAsia" w:ascii="仿宋" w:hAnsi="仿宋" w:eastAsia="仿宋" w:cs="仿宋"/>
          <w:sz w:val="24"/>
          <w:szCs w:val="24"/>
        </w:rPr>
        <w:t>中华人民共和国民法典</w:t>
      </w:r>
      <w:r>
        <w:rPr>
          <w:rFonts w:hint="eastAsia" w:ascii="仿宋" w:hAnsi="仿宋" w:eastAsia="仿宋" w:cs="仿宋"/>
          <w:sz w:val="24"/>
          <w:szCs w:val="24"/>
          <w:lang w:val="zh-CN"/>
        </w:rPr>
        <w:t>》中的相关条款执行。乙方未按合同要求提供产品质量不能满足相关要求的，甲方有权终止合同，并保留追究乙方违约责任的权利。</w:t>
      </w:r>
    </w:p>
    <w:p w14:paraId="1632676D">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lang w:val="zh-CN"/>
        </w:rPr>
        <w:t>（二）甲方发出订单通知后乙方拒绝供货的，乙方应向甲方支付拒绝供货部分货款10%的违约金，还应继续履行供货义务，甲方因上述原因而通过其他途径购买药品所产生的费用及其他损失，乙方应按甲方的实际损失赔偿。</w:t>
      </w:r>
    </w:p>
    <w:p w14:paraId="03C4787F">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lang w:val="zh-CN"/>
        </w:rPr>
        <w:t>（三）乙方除不可抗力原因外逾期供货的，按逾期供货部分货款计算，每延误一周须向甲方支付5%的违约金，直至提供货物服务为止。</w:t>
      </w:r>
    </w:p>
    <w:p w14:paraId="7F53D237">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（四）不可抗力违约的约定</w:t>
      </w:r>
    </w:p>
    <w:p w14:paraId="6341259E">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1、本条所述的“不可抗力”是指受影响方无法控制、不可预见的事件，包括战争、严重火灾、洪水、台风、地震及其他三方认可的事件，不包括故意违约或疏忽。</w:t>
      </w:r>
    </w:p>
    <w:p w14:paraId="42E5486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在不可抗力事件发生后，受影响方应尽快以书面形式将不可抗力情况和原因通知签约方。受影响方应尽实际可能继续履行合同义务，以及寻求采取合理的方案履行不受不可抗力影响的其他事项。不可抗力事件影响消除后，可通过协商在合理的时间内达成进一步履行合同的协议。</w:t>
      </w:r>
    </w:p>
    <w:p w14:paraId="306F9BA6">
      <w:pPr>
        <w:tabs>
          <w:tab w:val="left" w:pos="5245"/>
        </w:tabs>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在履行合同过程中，如果乙方因不可抗力造成不能按时配送药品和提供相应伴随服务情况时，应及时以书面形式将拖延的事实、可能拖延的时间和原因通知甲方。甲方在收到乙方通知后，应尽快核实情况，并由甲方确定是否酌情延长交货时间，以及是否收取违约金或终止合同。甲方可酌情变更配送企业。 </w:t>
      </w:r>
    </w:p>
    <w:p w14:paraId="508DD5ED">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第十条 合同争议解决方式 </w:t>
      </w:r>
    </w:p>
    <w:p w14:paraId="754D9A4E">
      <w:pPr>
        <w:spacing w:line="560" w:lineRule="exact"/>
        <w:ind w:firstLine="475" w:firstLineChars="198"/>
        <w:rPr>
          <w:rFonts w:hint="eastAsia" w:ascii="仿宋" w:hAnsi="仿宋" w:eastAsia="仿宋" w:cs="仿宋"/>
          <w:sz w:val="24"/>
          <w:szCs w:val="24"/>
        </w:rPr>
      </w:pPr>
      <w:r>
        <w:rPr>
          <w:rFonts w:hint="eastAsia" w:ascii="仿宋" w:hAnsi="仿宋" w:eastAsia="仿宋" w:cs="仿宋"/>
          <w:sz w:val="24"/>
          <w:szCs w:val="24"/>
          <w:lang w:eastAsia="zh-CN"/>
        </w:rPr>
        <w:t>甲方</w:t>
      </w:r>
      <w:r>
        <w:rPr>
          <w:rFonts w:hint="eastAsia" w:ascii="仿宋" w:hAnsi="仿宋" w:eastAsia="仿宋" w:cs="仿宋"/>
          <w:sz w:val="24"/>
          <w:szCs w:val="24"/>
        </w:rPr>
        <w:t>和</w:t>
      </w:r>
      <w:r>
        <w:rPr>
          <w:rFonts w:hint="eastAsia" w:ascii="仿宋" w:hAnsi="仿宋" w:eastAsia="仿宋" w:cs="仿宋"/>
          <w:sz w:val="24"/>
          <w:szCs w:val="24"/>
          <w:lang w:eastAsia="zh-CN"/>
        </w:rPr>
        <w:t>乙方</w:t>
      </w:r>
      <w:r>
        <w:rPr>
          <w:rFonts w:hint="eastAsia" w:ascii="仿宋" w:hAnsi="仿宋" w:eastAsia="仿宋" w:cs="仿宋"/>
          <w:sz w:val="24"/>
          <w:szCs w:val="24"/>
        </w:rPr>
        <w:t>履行合同时发生争议，可以和解或者向有关部门或机构申请调解。当事人不愿和解、调解或者和解、调解不成的，双方可以在本合同约定以下一种方式解决争议：</w:t>
      </w:r>
    </w:p>
    <w:p w14:paraId="10E82A37">
      <w:pPr>
        <w:spacing w:line="5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（1）双方达成仲裁协议，向约定的仲裁委员会申请仲裁；</w:t>
      </w:r>
    </w:p>
    <w:p w14:paraId="588ABCC4">
      <w:pPr>
        <w:spacing w:line="560" w:lineRule="exact"/>
        <w:ind w:firstLine="475" w:firstLineChars="198"/>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zh-CN"/>
        </w:rPr>
        <w:t xml:space="preserve">依法向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u w:val="single"/>
          <w:lang w:val="en-US" w:eastAsia="zh-CN"/>
        </w:rPr>
        <w:t xml:space="preserve">甲方所在地 </w:t>
      </w:r>
      <w:r>
        <w:rPr>
          <w:rFonts w:hint="eastAsia" w:ascii="仿宋" w:hAnsi="仿宋" w:eastAsia="仿宋" w:cs="仿宋"/>
          <w:sz w:val="24"/>
          <w:szCs w:val="24"/>
          <w:u w:val="single"/>
          <w:lang w:val="zh-CN"/>
        </w:rPr>
        <w:t xml:space="preserve"> </w:t>
      </w:r>
      <w:r>
        <w:rPr>
          <w:rFonts w:hint="eastAsia" w:ascii="仿宋" w:hAnsi="仿宋" w:eastAsia="仿宋" w:cs="仿宋"/>
          <w:sz w:val="24"/>
          <w:szCs w:val="24"/>
          <w:lang w:val="zh-CN"/>
        </w:rPr>
        <w:t xml:space="preserve"> 人民法院提起诉讼。</w:t>
      </w:r>
    </w:p>
    <w:p w14:paraId="1D55E0B3">
      <w:pPr>
        <w:spacing w:line="560" w:lineRule="exact"/>
        <w:ind w:firstLine="475" w:firstLineChars="198"/>
        <w:rPr>
          <w:rFonts w:hint="eastAsia" w:ascii="仿宋" w:hAnsi="仿宋" w:eastAsia="仿宋" w:cs="仿宋"/>
          <w:sz w:val="24"/>
          <w:szCs w:val="24"/>
          <w:lang w:val="zh-CN"/>
        </w:rPr>
      </w:pPr>
      <w:r>
        <w:rPr>
          <w:rFonts w:hint="eastAsia" w:ascii="仿宋" w:hAnsi="仿宋" w:eastAsia="仿宋" w:cs="仿宋"/>
          <w:sz w:val="24"/>
          <w:szCs w:val="24"/>
        </w:rPr>
        <w:t>第十一条 其它约定事项</w:t>
      </w:r>
      <w:r>
        <w:rPr>
          <w:rFonts w:hint="eastAsia" w:ascii="仿宋" w:hAnsi="仿宋" w:eastAsia="仿宋" w:cs="仿宋"/>
          <w:sz w:val="24"/>
          <w:szCs w:val="24"/>
          <w:lang w:val="zh-CN"/>
        </w:rPr>
        <w:t xml:space="preserve"> </w:t>
      </w:r>
    </w:p>
    <w:p w14:paraId="1D760DA2">
      <w:pPr>
        <w:spacing w:line="580" w:lineRule="exact"/>
        <w:ind w:firstLine="475" w:firstLineChars="198"/>
        <w:rPr>
          <w:rFonts w:hint="eastAsia" w:ascii="仿宋" w:hAnsi="仿宋" w:eastAsia="仿宋" w:cs="仿宋"/>
          <w:sz w:val="24"/>
          <w:szCs w:val="24"/>
          <w:lang w:eastAsia="zh-CN"/>
        </w:rPr>
      </w:pPr>
      <w:r>
        <w:rPr>
          <w:rFonts w:hint="eastAsia" w:ascii="仿宋" w:hAnsi="仿宋" w:eastAsia="仿宋" w:cs="仿宋"/>
          <w:sz w:val="24"/>
          <w:szCs w:val="24"/>
        </w:rPr>
        <w:t>（一）供货价格在合同期内执行中标价格，原则上不得变更。如果国家有关部门调整药品价格</w:t>
      </w:r>
      <w:r>
        <w:rPr>
          <w:rFonts w:hint="eastAsia" w:ascii="仿宋" w:hAnsi="仿宋" w:eastAsia="仿宋" w:cs="仿宋"/>
          <w:sz w:val="24"/>
        </w:rPr>
        <w:t>。</w:t>
      </w:r>
      <w:r>
        <w:rPr>
          <w:rFonts w:hint="eastAsia" w:ascii="仿宋" w:hAnsi="仿宋" w:eastAsia="仿宋" w:cs="仿宋"/>
          <w:sz w:val="24"/>
          <w:szCs w:val="24"/>
        </w:rPr>
        <w:t>药品价格按有关规定执行。由此造成的损失由甲乙双方协商解决。针对中药饮片月均销量≥100kg的品种，若市场价格涨幅超过中标价的2倍或跌至中标价的1/2时启动动态调价机制</w:t>
      </w:r>
      <w:r>
        <w:rPr>
          <w:rFonts w:hint="eastAsia" w:ascii="仿宋" w:hAnsi="仿宋" w:eastAsia="仿宋" w:cs="仿宋"/>
          <w:sz w:val="24"/>
          <w:szCs w:val="24"/>
          <w:lang w:eastAsia="zh-CN"/>
        </w:rPr>
        <w:t>。</w:t>
      </w:r>
    </w:p>
    <w:p w14:paraId="0C6B23D4">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（二）其他义务 </w:t>
      </w:r>
    </w:p>
    <w:p w14:paraId="1E30D1E6">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伴随服务。乙方负责配送药品上门。（1）药品现场搬运或入库；（2）提供药品开箱或分装用具；（3）对开箱和使用时发现的破损或其他不合格包装药品及时更换；（4）积极配合甲方做好临床出现不良反应药品退换货及后续服务工作；（5）其他乙方应提供的相关服务项目。 </w:t>
      </w:r>
    </w:p>
    <w:p w14:paraId="63276B4C">
      <w:pPr>
        <w:tabs>
          <w:tab w:val="left" w:pos="5245"/>
        </w:tabs>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第十二条 甲乙双方在药品采购、配送、结算过程中，必须严格遵守国家法律、法规和有关反商业贿赂的规定，自觉服从行政管理部门的监督管理。</w:t>
      </w:r>
    </w:p>
    <w:p w14:paraId="7500A6C5">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第十三条 在法律规定时效期间，任何一方没有行使其权利或没有就对方违约行为采取任何行动，不应被视为对权利的放弃或对追究违约责任的放弃。任何一方放弃针对对方的任何权利或放弃追究对方的任何责任，应有书面放弃声明。</w:t>
      </w:r>
    </w:p>
    <w:p w14:paraId="4CD2B30C">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第十四条 除本合同的约定外，本合同未尽事项，可由双方另行协商并签订补充协议，补充协议成为本合同不可分割的一部分，补充协议与本合同具有同等法律效力。</w:t>
      </w:r>
    </w:p>
    <w:p w14:paraId="7E41641C">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第十五条 本合同一式伍份，具有相同法律效力,甲方执肆份，乙方执一份。本合同自双方签字盖章后生效，合同执行完毕自动失效。有效期至     年  月  日。</w:t>
      </w:r>
    </w:p>
    <w:p w14:paraId="3129A98B">
      <w:pPr>
        <w:spacing w:line="560" w:lineRule="exact"/>
        <w:ind w:firstLine="480" w:firstLineChars="200"/>
        <w:jc w:val="left"/>
        <w:rPr>
          <w:rFonts w:hint="eastAsia" w:ascii="仿宋" w:hAnsi="仿宋" w:eastAsia="仿宋" w:cs="仿宋"/>
          <w:sz w:val="24"/>
          <w:szCs w:val="24"/>
        </w:rPr>
      </w:pPr>
    </w:p>
    <w:p w14:paraId="601C96F3">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甲方：</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乙方：      </w:t>
      </w:r>
    </w:p>
    <w:p w14:paraId="4191364B">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地址：</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地址：     </w:t>
      </w:r>
    </w:p>
    <w:p w14:paraId="3EAAEF48">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电话：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电话：     </w:t>
      </w:r>
    </w:p>
    <w:p w14:paraId="2605BF00">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法定代表人：                       法定代表人：  </w:t>
      </w:r>
    </w:p>
    <w:p w14:paraId="7C6190C2">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委托代理人：                       委托代理人：  </w:t>
      </w:r>
    </w:p>
    <w:p w14:paraId="384B7111">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盖章：                             盖章：      </w:t>
      </w:r>
    </w:p>
    <w:p w14:paraId="12D05419">
      <w:pPr>
        <w:spacing w:line="56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日期：     年  月  日              日期：     年  月  日</w:t>
      </w:r>
    </w:p>
    <w:p w14:paraId="1799F43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8FB329"/>
    <w:multiLevelType w:val="singleLevel"/>
    <w:tmpl w:val="828FB329"/>
    <w:lvl w:ilvl="0" w:tentative="0">
      <w:start w:val="2"/>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D42DB0"/>
    <w:rsid w:val="210A78BC"/>
    <w:rsid w:val="2B277F68"/>
    <w:rsid w:val="2BD42DB0"/>
    <w:rsid w:val="2C145D6F"/>
    <w:rsid w:val="46732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3483</Words>
  <Characters>3507</Characters>
  <Lines>0</Lines>
  <Paragraphs>0</Paragraphs>
  <TotalTime>1</TotalTime>
  <ScaleCrop>false</ScaleCrop>
  <LinksUpToDate>false</LinksUpToDate>
  <CharactersWithSpaces>3818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2025-11-26T10:35:00Z</dcterms:created>
  <dc:creator>华夏国际-招标部</dc:creator>
  <cp:lastModifiedBy>华夏国际-招标部</cp:lastModifiedBy>
  <dcterms:modified xsi:type="dcterms:W3CDTF">2026-03-09T09:18:51Z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FF33BD0CC1C841909A1F1D6199392298_13</vt:lpwstr>
  </property>
  <property fmtid="{D5CDD505-2E9C-101B-9397-08002B2CF9AE}" pid="4" name="KSOTemplateDocerSaveRecord">
    <vt:lpwstr>eyJoZGlkIjoiOTliZmFiMTgxMjAzMGU2Mjk0ZGExYmI2MWRhM2Y3ZjgiLCJ1c2VySWQiOiIxNTQ4NTM4NTMxIn0=</vt:lpwstr>
  </property>
</Properties>
</file>