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版本号：THXZB2026-101220260415003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细柳街道韦斗路（丈八八路—丈八七路段）破除及垃圾清运项目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THXZB2026-1012</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细柳街道韦斗路（丈八八路—丈八七路段）破除及垃圾清运项目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THXZB2026-1012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细柳街道韦斗路（丈八八路—丈八七路段）破除及垃圾清运项目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细柳街道韦斗路（丈八八路-丈八七路段）破除及垃圾清运项目路北绿化破除面积2470.76㎡，垃圾外运2470.76m³；韦斗路破除面积4486.38㎡，垃圾外运4486.38m³；路南绿化破除面积1820.56㎡，垃圾外运1820.56m³。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p>
      <w:pPr>
        <w:pStyle w:val="null3"/>
      </w:pPr>
      <w:r>
        <w:rPr>
          <w:rFonts w:ascii="仿宋_GB2312" w:hAnsi="仿宋_GB2312" w:cs="仿宋_GB2312" w:eastAsia="仿宋_GB2312"/>
        </w:rPr>
        <w:t>2、法定代表人授权书：法定代表人直接磋商须提交法定代表人证明书，法定代表人授权代表参加磋商的，须出具授权书、授权代表本单位的证明（授权代表提供有效的近三个月社保缴纳证明）， 供应商需在项目电子化交易系统中按要求填写并进行电子签章；</w:t>
      </w:r>
    </w:p>
    <w:p>
      <w:pPr>
        <w:pStyle w:val="null3"/>
      </w:pPr>
      <w:r>
        <w:rPr>
          <w:rFonts w:ascii="仿宋_GB2312" w:hAnsi="仿宋_GB2312" w:cs="仿宋_GB2312" w:eastAsia="仿宋_GB2312"/>
        </w:rPr>
        <w:t>3、公司资质要求：具备建设行政主管部门颁发的市政公用工程施工总承包三级及以上资质，同时具有合格有效的安全生产许可证， 供应商需在项目电子化交易系统中按要求上传相应证明文件并进行电子签章；</w:t>
      </w:r>
    </w:p>
    <w:p>
      <w:pPr>
        <w:pStyle w:val="null3"/>
      </w:pPr>
      <w:r>
        <w:rPr>
          <w:rFonts w:ascii="仿宋_GB2312" w:hAnsi="仿宋_GB2312" w:cs="仿宋_GB2312" w:eastAsia="仿宋_GB2312"/>
        </w:rPr>
        <w:t>4、项目经理要求：拟派项目经理须具有市政公用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西安市长安区细柳街道办事处经办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西安市雁塔区西京电气集团公司南门国家级孵化器（雁南二路）西京科创园3号楼25层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采购包1：1,164,703.26元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代理服务费收费标准：参照国家发展和改革委员会《招标代理服务收费暂行办法》（计价格〔2002〕1980号）和国家发展改革委（发改价格〔2003〕857号）文件规定计取，以成交金额作为基数，差额累进法进行计算。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联系人：陈阳</w:t>
      </w:r>
    </w:p>
    <w:p>
      <w:pPr>
        <w:pStyle w:val="null3"/>
      </w:pPr>
      <w:r>
        <w:rPr>
          <w:rFonts w:ascii="仿宋_GB2312" w:hAnsi="仿宋_GB2312" w:cs="仿宋_GB2312" w:eastAsia="仿宋_GB2312"/>
        </w:rPr>
        <w:t>联系电话：029-88210791转806</w:t>
      </w:r>
    </w:p>
    <w:p>
      <w:pPr>
        <w:pStyle w:val="null3"/>
      </w:pPr>
      <w:r>
        <w:rPr>
          <w:rFonts w:ascii="仿宋_GB2312" w:hAnsi="仿宋_GB2312" w:cs="仿宋_GB2312" w:eastAsia="仿宋_GB2312"/>
        </w:rPr>
        <w:t>地址：西安市雁塔区西京电气集团公司南门国家级孵化器（雁南二路）西京科创园3号楼25层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1,164,703.26</w:t>
      </w:r>
    </w:p>
    <w:p>
      <w:pPr>
        <w:pStyle w:val="null3"/>
      </w:pPr>
      <w:r>
        <w:rPr>
          <w:rFonts w:ascii="仿宋_GB2312" w:hAnsi="仿宋_GB2312" w:cs="仿宋_GB2312" w:eastAsia="仿宋_GB2312"/>
        </w:rPr>
        <w:t>采购包最高限价（元）: 1,164,703.26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细柳街道韦斗路（丈八八路-丈八七路段）破除及垃圾清运项目路面及绿化带破除区域8777.70㎡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1,164,703.26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标的名称：细柳街道韦斗路（丈八八路-丈八七路段）破除及垃圾清运项目路面及绿化带破除区域8777.70㎡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0"/>
                <w:b/>
              </w:rPr>
              <w:t>一、概况</w:t>
            </w:r>
          </w:p>
          <w:p>
            <w:pPr>
              <w:pStyle w:val="null3"/>
              <w:ind w:firstLine="560"/>
              <w:jc w:val="both"/>
            </w:pPr>
            <w:r>
              <w:rPr>
                <w:rFonts w:ascii="仿宋_GB2312" w:hAnsi="仿宋_GB2312" w:cs="仿宋_GB2312" w:eastAsia="仿宋_GB2312"/>
                <w:sz w:val="28"/>
              </w:rPr>
              <w:t>细柳街道韦斗路（丈八八路</w:t>
            </w:r>
            <w:r>
              <w:rPr>
                <w:rFonts w:ascii="仿宋_GB2312" w:hAnsi="仿宋_GB2312" w:cs="仿宋_GB2312" w:eastAsia="仿宋_GB2312"/>
                <w:sz w:val="28"/>
              </w:rPr>
              <w:t>-</w:t>
            </w:r>
            <w:r>
              <w:rPr>
                <w:rFonts w:ascii="仿宋_GB2312" w:hAnsi="仿宋_GB2312" w:cs="仿宋_GB2312" w:eastAsia="仿宋_GB2312"/>
                <w:sz w:val="28"/>
              </w:rPr>
              <w:t>丈八七路段）破除及垃圾清运项目路面及绿化带破除</w:t>
            </w:r>
            <w:r>
              <w:rPr>
                <w:rFonts w:ascii="仿宋_GB2312" w:hAnsi="仿宋_GB2312" w:cs="仿宋_GB2312" w:eastAsia="仿宋_GB2312"/>
                <w:sz w:val="28"/>
              </w:rPr>
              <w:t>区域</w:t>
            </w:r>
            <w:r>
              <w:rPr>
                <w:rFonts w:ascii="仿宋_GB2312" w:hAnsi="仿宋_GB2312" w:cs="仿宋_GB2312" w:eastAsia="仿宋_GB2312"/>
                <w:sz w:val="28"/>
              </w:rPr>
              <w:t>8777.70</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30"/>
                <w:b/>
              </w:rPr>
              <w:t>二、实施范围</w:t>
            </w:r>
          </w:p>
          <w:p>
            <w:pPr>
              <w:pStyle w:val="null3"/>
              <w:ind w:firstLine="560"/>
              <w:jc w:val="both"/>
            </w:pPr>
            <w:r>
              <w:rPr>
                <w:rFonts w:ascii="仿宋_GB2312" w:hAnsi="仿宋_GB2312" w:cs="仿宋_GB2312" w:eastAsia="仿宋_GB2312"/>
                <w:sz w:val="28"/>
              </w:rPr>
              <w:t>细柳街道韦斗路（丈八八路</w:t>
            </w:r>
            <w:r>
              <w:rPr>
                <w:rFonts w:ascii="仿宋_GB2312" w:hAnsi="仿宋_GB2312" w:cs="仿宋_GB2312" w:eastAsia="仿宋_GB2312"/>
                <w:sz w:val="28"/>
              </w:rPr>
              <w:t>-</w:t>
            </w:r>
            <w:r>
              <w:rPr>
                <w:rFonts w:ascii="仿宋_GB2312" w:hAnsi="仿宋_GB2312" w:cs="仿宋_GB2312" w:eastAsia="仿宋_GB2312"/>
                <w:sz w:val="28"/>
              </w:rPr>
              <w:t>丈八七路段）破除及垃圾清运项目路北绿化破除面积</w:t>
            </w:r>
            <w:r>
              <w:rPr>
                <w:rFonts w:ascii="仿宋_GB2312" w:hAnsi="仿宋_GB2312" w:cs="仿宋_GB2312" w:eastAsia="仿宋_GB2312"/>
                <w:sz w:val="28"/>
              </w:rPr>
              <w:t>2470.76</w:t>
            </w:r>
            <w:r>
              <w:rPr>
                <w:rFonts w:ascii="仿宋_GB2312" w:hAnsi="仿宋_GB2312" w:cs="仿宋_GB2312" w:eastAsia="仿宋_GB2312"/>
                <w:sz w:val="28"/>
              </w:rPr>
              <w:t>㎡</w:t>
            </w:r>
            <w:r>
              <w:rPr>
                <w:rFonts w:ascii="仿宋_GB2312" w:hAnsi="仿宋_GB2312" w:cs="仿宋_GB2312" w:eastAsia="仿宋_GB2312"/>
                <w:sz w:val="28"/>
              </w:rPr>
              <w:t>，垃圾</w:t>
            </w:r>
            <w:r>
              <w:rPr>
                <w:rFonts w:ascii="仿宋_GB2312" w:hAnsi="仿宋_GB2312" w:cs="仿宋_GB2312" w:eastAsia="仿宋_GB2312"/>
                <w:sz w:val="28"/>
              </w:rPr>
              <w:t>外运</w:t>
            </w:r>
            <w:r>
              <w:rPr>
                <w:rFonts w:ascii="仿宋_GB2312" w:hAnsi="仿宋_GB2312" w:cs="仿宋_GB2312" w:eastAsia="仿宋_GB2312"/>
                <w:sz w:val="28"/>
              </w:rPr>
              <w:t>2470.76</w:t>
            </w:r>
            <w:r>
              <w:rPr>
                <w:rFonts w:ascii="仿宋_GB2312" w:hAnsi="仿宋_GB2312" w:cs="仿宋_GB2312" w:eastAsia="仿宋_GB2312"/>
                <w:sz w:val="28"/>
              </w:rPr>
              <w:t>m³；</w:t>
            </w:r>
            <w:r>
              <w:rPr>
                <w:rFonts w:ascii="仿宋_GB2312" w:hAnsi="仿宋_GB2312" w:cs="仿宋_GB2312" w:eastAsia="仿宋_GB2312"/>
                <w:sz w:val="28"/>
              </w:rPr>
              <w:t>韦斗路破除面积</w:t>
            </w:r>
            <w:r>
              <w:rPr>
                <w:rFonts w:ascii="仿宋_GB2312" w:hAnsi="仿宋_GB2312" w:cs="仿宋_GB2312" w:eastAsia="仿宋_GB2312"/>
                <w:sz w:val="28"/>
              </w:rPr>
              <w:t>4486.38</w:t>
            </w:r>
            <w:r>
              <w:rPr>
                <w:rFonts w:ascii="仿宋_GB2312" w:hAnsi="仿宋_GB2312" w:cs="仿宋_GB2312" w:eastAsia="仿宋_GB2312"/>
                <w:sz w:val="28"/>
              </w:rPr>
              <w:t>㎡</w:t>
            </w:r>
            <w:r>
              <w:rPr>
                <w:rFonts w:ascii="仿宋_GB2312" w:hAnsi="仿宋_GB2312" w:cs="仿宋_GB2312" w:eastAsia="仿宋_GB2312"/>
                <w:sz w:val="28"/>
              </w:rPr>
              <w:t>，垃圾</w:t>
            </w:r>
            <w:r>
              <w:rPr>
                <w:rFonts w:ascii="仿宋_GB2312" w:hAnsi="仿宋_GB2312" w:cs="仿宋_GB2312" w:eastAsia="仿宋_GB2312"/>
                <w:sz w:val="28"/>
              </w:rPr>
              <w:t>外运</w:t>
            </w:r>
            <w:r>
              <w:rPr>
                <w:rFonts w:ascii="仿宋_GB2312" w:hAnsi="仿宋_GB2312" w:cs="仿宋_GB2312" w:eastAsia="仿宋_GB2312"/>
                <w:sz w:val="28"/>
              </w:rPr>
              <w:t>4486.38</w:t>
            </w:r>
            <w:r>
              <w:rPr>
                <w:rFonts w:ascii="仿宋_GB2312" w:hAnsi="仿宋_GB2312" w:cs="仿宋_GB2312" w:eastAsia="仿宋_GB2312"/>
                <w:sz w:val="28"/>
              </w:rPr>
              <w:t>m³；</w:t>
            </w:r>
            <w:r>
              <w:rPr>
                <w:rFonts w:ascii="仿宋_GB2312" w:hAnsi="仿宋_GB2312" w:cs="仿宋_GB2312" w:eastAsia="仿宋_GB2312"/>
                <w:sz w:val="28"/>
              </w:rPr>
              <w:t>路南绿化破除面积</w:t>
            </w:r>
            <w:r>
              <w:rPr>
                <w:rFonts w:ascii="仿宋_GB2312" w:hAnsi="仿宋_GB2312" w:cs="仿宋_GB2312" w:eastAsia="仿宋_GB2312"/>
                <w:sz w:val="28"/>
              </w:rPr>
              <w:t>1820.56</w:t>
            </w:r>
            <w:r>
              <w:rPr>
                <w:rFonts w:ascii="仿宋_GB2312" w:hAnsi="仿宋_GB2312" w:cs="仿宋_GB2312" w:eastAsia="仿宋_GB2312"/>
                <w:sz w:val="28"/>
              </w:rPr>
              <w:t>㎡</w:t>
            </w:r>
            <w:r>
              <w:rPr>
                <w:rFonts w:ascii="仿宋_GB2312" w:hAnsi="仿宋_GB2312" w:cs="仿宋_GB2312" w:eastAsia="仿宋_GB2312"/>
                <w:sz w:val="28"/>
              </w:rPr>
              <w:t>，垃圾</w:t>
            </w:r>
            <w:r>
              <w:rPr>
                <w:rFonts w:ascii="仿宋_GB2312" w:hAnsi="仿宋_GB2312" w:cs="仿宋_GB2312" w:eastAsia="仿宋_GB2312"/>
                <w:sz w:val="28"/>
              </w:rPr>
              <w:t>外运</w:t>
            </w:r>
            <w:r>
              <w:rPr>
                <w:rFonts w:ascii="仿宋_GB2312" w:hAnsi="仿宋_GB2312" w:cs="仿宋_GB2312" w:eastAsia="仿宋_GB2312"/>
                <w:sz w:val="28"/>
              </w:rPr>
              <w:t>1820.56</w:t>
            </w:r>
            <w:r>
              <w:rPr>
                <w:rFonts w:ascii="仿宋_GB2312" w:hAnsi="仿宋_GB2312" w:cs="仿宋_GB2312" w:eastAsia="仿宋_GB2312"/>
                <w:sz w:val="28"/>
              </w:rPr>
              <w:t>m³。</w:t>
            </w:r>
          </w:p>
          <w:p>
            <w:pPr>
              <w:pStyle w:val="null3"/>
              <w:jc w:val="both"/>
            </w:pPr>
            <w:r>
              <w:rPr>
                <w:rFonts w:ascii="仿宋_GB2312" w:hAnsi="仿宋_GB2312" w:cs="仿宋_GB2312" w:eastAsia="仿宋_GB2312"/>
                <w:sz w:val="30"/>
                <w:b/>
              </w:rPr>
              <w:t>三、执行的法律法规、技术规范</w:t>
            </w:r>
          </w:p>
          <w:p>
            <w:pPr>
              <w:pStyle w:val="null3"/>
              <w:ind w:firstLine="560"/>
              <w:jc w:val="both"/>
            </w:pPr>
            <w:r>
              <w:rPr>
                <w:rFonts w:ascii="仿宋_GB2312" w:hAnsi="仿宋_GB2312" w:cs="仿宋_GB2312" w:eastAsia="仿宋_GB2312"/>
                <w:sz w:val="28"/>
              </w:rPr>
              <w:t>（一）执行的法律法规、技术规范包括但不限于以下规定、规范、标准：</w:t>
            </w:r>
          </w:p>
          <w:p>
            <w:pPr>
              <w:pStyle w:val="null3"/>
              <w:ind w:firstLine="560"/>
              <w:jc w:val="both"/>
            </w:pPr>
            <w:r>
              <w:rPr>
                <w:rFonts w:ascii="仿宋_GB2312" w:hAnsi="仿宋_GB2312" w:cs="仿宋_GB2312" w:eastAsia="仿宋_GB2312"/>
                <w:sz w:val="28"/>
              </w:rPr>
              <w:t>《安全生产法》</w:t>
            </w:r>
          </w:p>
          <w:p>
            <w:pPr>
              <w:pStyle w:val="null3"/>
              <w:ind w:firstLine="560"/>
              <w:jc w:val="both"/>
            </w:pPr>
            <w:r>
              <w:rPr>
                <w:rFonts w:ascii="仿宋_GB2312" w:hAnsi="仿宋_GB2312" w:cs="仿宋_GB2312" w:eastAsia="仿宋_GB2312"/>
                <w:sz w:val="28"/>
              </w:rPr>
              <w:t>《建设工程安全生产管理条例》</w:t>
            </w:r>
          </w:p>
          <w:p>
            <w:pPr>
              <w:pStyle w:val="null3"/>
              <w:ind w:firstLine="560"/>
              <w:jc w:val="both"/>
            </w:pPr>
            <w:r>
              <w:rPr>
                <w:rFonts w:ascii="仿宋_GB2312" w:hAnsi="仿宋_GB2312" w:cs="仿宋_GB2312" w:eastAsia="仿宋_GB2312"/>
                <w:sz w:val="28"/>
              </w:rPr>
              <w:t>《西安市扬尘污染防治条例》</w:t>
            </w:r>
          </w:p>
          <w:p>
            <w:pPr>
              <w:pStyle w:val="null3"/>
              <w:ind w:firstLine="560"/>
              <w:jc w:val="both"/>
            </w:pPr>
            <w:r>
              <w:rPr>
                <w:rFonts w:ascii="仿宋_GB2312" w:hAnsi="仿宋_GB2312" w:cs="仿宋_GB2312" w:eastAsia="仿宋_GB2312"/>
                <w:sz w:val="28"/>
              </w:rPr>
              <w:t>《西安市建筑垃圾管理办法》</w:t>
            </w:r>
          </w:p>
          <w:p>
            <w:pPr>
              <w:pStyle w:val="null3"/>
              <w:ind w:firstLine="560"/>
              <w:jc w:val="both"/>
            </w:pPr>
            <w:r>
              <w:rPr>
                <w:rFonts w:ascii="仿宋_GB2312" w:hAnsi="仿宋_GB2312" w:cs="仿宋_GB2312" w:eastAsia="仿宋_GB2312"/>
                <w:sz w:val="28"/>
              </w:rPr>
              <w:t>《西安高新区治污减霾网格化管理工作实施方案》</w:t>
            </w:r>
          </w:p>
          <w:p>
            <w:pPr>
              <w:pStyle w:val="null3"/>
              <w:ind w:firstLine="560"/>
              <w:jc w:val="both"/>
            </w:pPr>
            <w:r>
              <w:rPr>
                <w:rFonts w:ascii="仿宋_GB2312" w:hAnsi="仿宋_GB2312" w:cs="仿宋_GB2312" w:eastAsia="仿宋_GB2312"/>
                <w:sz w:val="28"/>
              </w:rPr>
              <w:t>（二）质量标准</w:t>
            </w:r>
          </w:p>
          <w:p>
            <w:pPr>
              <w:pStyle w:val="null3"/>
              <w:ind w:firstLine="560"/>
              <w:jc w:val="both"/>
            </w:pPr>
            <w:r>
              <w:rPr>
                <w:rFonts w:ascii="仿宋_GB2312" w:hAnsi="仿宋_GB2312" w:cs="仿宋_GB2312" w:eastAsia="仿宋_GB2312"/>
                <w:sz w:val="28"/>
              </w:rPr>
              <w:t>1、项目范围内全部采用机械</w:t>
            </w:r>
            <w:r>
              <w:rPr>
                <w:rFonts w:ascii="仿宋_GB2312" w:hAnsi="仿宋_GB2312" w:cs="仿宋_GB2312" w:eastAsia="仿宋_GB2312"/>
                <w:sz w:val="28"/>
              </w:rPr>
              <w:t>开挖</w:t>
            </w:r>
            <w:r>
              <w:rPr>
                <w:rFonts w:ascii="仿宋_GB2312" w:hAnsi="仿宋_GB2312" w:cs="仿宋_GB2312" w:eastAsia="仿宋_GB2312"/>
                <w:sz w:val="28"/>
              </w:rPr>
              <w:t>、</w:t>
            </w:r>
            <w:r>
              <w:rPr>
                <w:rFonts w:ascii="仿宋_GB2312" w:hAnsi="仿宋_GB2312" w:cs="仿宋_GB2312" w:eastAsia="仿宋_GB2312"/>
                <w:sz w:val="28"/>
              </w:rPr>
              <w:t>保证</w:t>
            </w:r>
            <w:r>
              <w:rPr>
                <w:rFonts w:ascii="仿宋_GB2312" w:hAnsi="仿宋_GB2312" w:cs="仿宋_GB2312" w:eastAsia="仿宋_GB2312"/>
                <w:sz w:val="28"/>
              </w:rPr>
              <w:t>现场无扬尘</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2、施工单位负责协调村内及周边关系</w:t>
            </w:r>
            <w:r>
              <w:rPr>
                <w:rFonts w:ascii="仿宋_GB2312" w:hAnsi="仿宋_GB2312" w:cs="仿宋_GB2312" w:eastAsia="仿宋_GB2312"/>
                <w:sz w:val="28"/>
              </w:rPr>
              <w:t>。且施工单位要具有垃圾消纳的处置能力。</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30"/>
                <w:b/>
              </w:rPr>
              <w:t>四、工程量清单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248"/>
              <w:gridCol w:w="1101"/>
              <w:gridCol w:w="239"/>
              <w:gridCol w:w="429"/>
              <w:gridCol w:w="529"/>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项目清单</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工程量</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路北绿化拆除及垃圾清运</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m³</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2470.76</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运距</w:t>
                  </w:r>
                  <w:r>
                    <w:rPr>
                      <w:rFonts w:ascii="仿宋_GB2312" w:hAnsi="仿宋_GB2312" w:cs="仿宋_GB2312" w:eastAsia="仿宋_GB2312"/>
                      <w:sz w:val="28"/>
                    </w:rPr>
                    <w:t>72km</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路面破除</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4486.38</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道路破除</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路面破除垃圾清运</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m³</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4486.38</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运距</w:t>
                  </w:r>
                  <w:r>
                    <w:rPr>
                      <w:rFonts w:ascii="仿宋_GB2312" w:hAnsi="仿宋_GB2312" w:cs="仿宋_GB2312" w:eastAsia="仿宋_GB2312"/>
                      <w:sz w:val="28"/>
                    </w:rPr>
                    <w:t>72km</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路南绿化拆除及垃圾清运</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m³</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1820.56</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运距</w:t>
                  </w:r>
                  <w:r>
                    <w:rPr>
                      <w:rFonts w:ascii="仿宋_GB2312" w:hAnsi="仿宋_GB2312" w:cs="仿宋_GB2312" w:eastAsia="仿宋_GB2312"/>
                      <w:sz w:val="28"/>
                    </w:rPr>
                    <w:t>72km</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1、工程名称：细柳街道韦斗路（丈八八路—丈八七路段）破除及垃圾清运项目 2、预算金额：1164703.26元 招标最高限价：1164703.26元 3、工程地点：细柳街道韦斗路 4、工程内容：细柳街道韦斗路（丈八八路-丈八七路段）破除及垃圾清运项目路北绿化破除面积2470.76㎡，垃圾外运2470.76m³；韦斗路破除面积4486.38㎡，垃圾外运4486.38m³；路南绿化破除面积1820.56㎡，垃圾外运1820.56m³。二、工期要求：施工合同签订之日起45个日历天内完成。三、工程质量要求：按国家有关验收规范和验评标准，工程质量达到合格标准。 四、施工要求 1、严格执行国家现行规范、标准，严格按照设计要求组织施工。2、明确职责，严格岗位责任，齐心协力做好工作，确保工程按计划行。3、加强管理，确保施工中的人员安全。五、付款方式：1、按照工程进度大于付款进度的原则，承包人按施工进度完成工程量并向发包人提出付款申请，经发包人验收合格后进行支付，待工程全部完工由发包人验收合格并确认后，支付至合同暂定总价的75％；此后，按照本合同约定的工程项目和计价依据报送本工程的结算报告，发包人和高新区财政局审核并出具评审报告后，依据财政评审报告为最终付款依据，付款至工程结算价款的100％。2、本工程无预付款。六、其他说明事宜：1、本项目属性为：工程 。2、本项目采购标的所属行业为：建筑业 。（按照《工信部、国家统计局、发改委、财政部、工信部联企业》 中小企业划型标准（〔2011〕300号） 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市财函【2024】1032号文要求，供应商在参与政府采购项目投标时，可对《政府采购法实施条例》第十七条相关材料进行简化，供应商只需以书面形式提供《基本资格条件承诺函》可视为响应基本资格，后附《基本资格条件承诺函》格式；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市财函【2024】1032号文要求，供应商在参与政府采购项目投标时，可对《政府采购法实施条例》第十七条相关材料进行简化，供应商只需以书面形式提供《基本资格条件承诺函》可视为响应基本资格，后附《基本资格条件承诺函》格式；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供应商需在项目电子化交易系统中按要求填写《供应商承诺书》完成承诺并进行电子签章。</w:t>
            </w:r>
          </w:p>
        </w:tc>
        <w:tc>
          <w:tcPr>
            <w:tcW w:type="dxa" w:w="1661"/>
          </w:tcPr>
          <w:p>
            <w:pPr>
              <w:pStyle w:val="null3"/>
            </w:pPr>
            <w:r>
              <w:rPr>
                <w:rFonts w:ascii="仿宋_GB2312" w:hAnsi="仿宋_GB2312" w:cs="仿宋_GB2312" w:eastAsia="仿宋_GB2312"/>
              </w:rPr>
              <w:t>基本资格条件承诺函.docx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法定代表人直接磋商须提交法定代表人证明书，法定代表人授权代表参加磋商的，须出具授权书、授权代表本单位的证明（授权代表提供有效的近三个月社保缴纳证明）， 供应商需在项目电子化交易系统中按要求填写并进行电子签章；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公司资质要求</w:t>
            </w:r>
          </w:p>
        </w:tc>
        <w:tc>
          <w:tcPr>
            <w:tcW w:type="dxa" w:w="3322"/>
          </w:tcPr>
          <w:p>
            <w:pPr>
              <w:pStyle w:val="null3"/>
            </w:pPr>
            <w:r>
              <w:rPr>
                <w:rFonts w:ascii="仿宋_GB2312" w:hAnsi="仿宋_GB2312" w:cs="仿宋_GB2312" w:eastAsia="仿宋_GB2312"/>
              </w:rPr>
              <w:t>具备建设行政主管部门颁发的市政公用工程施工总承包三级及以上资质，同时具有合格有效的安全生产许可证，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市政公用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响应文件封面 已标价工程量清单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基本资格条件承诺函.docx 已标价工程量清单 中小企业声明函 供应商应提交的相关资格证明材料 商务标响应方案.docx 供应商承诺书.docx 强制优先采购产品承诺函 响应文件封面 项目管理机构组成表 残疾人福利性单位声明函 其他需满足的资格条款.docx 技术标响应方案.docx 供应商类似项目业绩一览表 法定代表人授权委托书.docx 响应函 主要人员简历表 监狱企业的证明文件 项目经理无在建工程、无不良记录承诺书.docx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1.施工总体方案</w:t>
            </w:r>
          </w:p>
        </w:tc>
        <w:tc>
          <w:tcPr>
            <w:tcW w:type="dxa" w:w="2492"/>
          </w:tcPr>
          <w:p>
            <w:pPr>
              <w:pStyle w:val="null3"/>
            </w:pPr>
            <w:r>
              <w:rPr>
                <w:rFonts w:ascii="仿宋_GB2312" w:hAnsi="仿宋_GB2312" w:cs="仿宋_GB2312" w:eastAsia="仿宋_GB2312"/>
              </w:rPr>
              <w:t>垃圾清运总体方案内容至少包括①施工准备；②施工进度安排;③施工方法；④重点难点工程分析及解决措施； ⑤影响正常施工外在因素分析及对应预案等。 以上内容专门针对本项目且阐述明晰、全面、合理 得 10 分，每缺一项内容扣 2 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2.工程质量的技术组织措施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 工作流程；②工程质量保障方案；③工程质量控制体系； ④材料和构配件的质量控制等；⑤施工检测及工序交验方案等。 以上内容专门针对本项目且阐述明晰、全面、合理 得 10 分，每缺一项内容扣 2 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3.安全生产技术组织措施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 理制度；②配置安全组织机构；③安全隐患排查、整改制度；④应急救援机制等。 以上内容专门针对本项目且阐述明晰、全面、合理 得10分，每缺一项内容扣 2 .5分，若上述内容存在瑕疵，每出存在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4.文明施工及环境保护组织措施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 ②防尘降噪措施； ③节能减排措施； ④文明及环境保护施工监督检查机制等。 以上内容专门针对本项目且阐述明晰、全面、合理得 10分，每缺一项内容扣 2 .5分，若上述内容存在瑕疵，每存在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5.施工组织和项目管理机构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 机构图;②岗位安排及职责（配备施工员、安全员、资料 员、材料员、质量员）；③管理制度；④相应的协调措 施等。 以上内容专门针对本项目且阐述明晰、全面、合理 得 10 分，每缺一项内容扣 2 .5分，若上述内容存在瑕疵，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项目经理无在建工程、无不良记录承诺书.docx</w:t>
            </w:r>
          </w:p>
        </w:tc>
      </w:tr>
      <w:tr>
        <w:tc>
          <w:tcPr>
            <w:tcW w:type="dxa" w:w="831"/>
            <w:vMerge/>
          </w:tcPr>
          <w:p/>
        </w:tc>
        <w:tc>
          <w:tcPr>
            <w:tcW w:type="dxa" w:w="1661"/>
          </w:tcPr>
          <w:p>
            <w:pPr>
              <w:pStyle w:val="null3"/>
            </w:pPr>
            <w:r>
              <w:rPr>
                <w:rFonts w:ascii="仿宋_GB2312" w:hAnsi="仿宋_GB2312" w:cs="仿宋_GB2312" w:eastAsia="仿宋_GB2312"/>
              </w:rPr>
              <w:t>6.施工部署与进度计划</w:t>
            </w:r>
          </w:p>
        </w:tc>
        <w:tc>
          <w:tcPr>
            <w:tcW w:type="dxa" w:w="2492"/>
          </w:tcPr>
          <w:p>
            <w:pPr>
              <w:pStyle w:val="null3"/>
            </w:pPr>
            <w:r>
              <w:rPr>
                <w:rFonts w:ascii="仿宋_GB2312" w:hAnsi="仿宋_GB2312" w:cs="仿宋_GB2312" w:eastAsia="仿宋_GB2312"/>
              </w:rPr>
              <w:t>施工部署与进度计划内容至少包括①施工总平面布 置； ②进度安排计划； ③工期目标控制和保证措施； ④ 材料供应措施； ⑤成品、半成品保护监管措施等。 以上内容专门针对本项目且阐述明晰、全面、合理 得 5分，每缺一项内容扣 1分，若上述内容存在瑕疵， 每存在 1 处瑕疵扣 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7.施工机械配置 和材料投入计划</w:t>
            </w:r>
          </w:p>
        </w:tc>
        <w:tc>
          <w:tcPr>
            <w:tcW w:type="dxa" w:w="2492"/>
          </w:tcPr>
          <w:p>
            <w:pPr>
              <w:pStyle w:val="null3"/>
            </w:pPr>
            <w:r>
              <w:rPr>
                <w:rFonts w:ascii="仿宋_GB2312" w:hAnsi="仿宋_GB2312" w:cs="仿宋_GB2312" w:eastAsia="仿宋_GB2312"/>
              </w:rPr>
              <w:t>施工机械配置和材料投入计划内容至少包括①施工 机械配置计划； ②施工材料投入计划； ③施工机械的维 护保养和材料的贮存； ④施工机械、材料的监督和检查等。 以上内容专门针对本项目且阐述明晰、全面、合理 得 10分，每缺一项内容扣 2 .5分，若上述内容存在瑕疵，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8.业绩</w:t>
            </w:r>
          </w:p>
        </w:tc>
        <w:tc>
          <w:tcPr>
            <w:tcW w:type="dxa" w:w="2492"/>
          </w:tcPr>
          <w:p>
            <w:pPr>
              <w:pStyle w:val="null3"/>
            </w:pPr>
            <w:r>
              <w:rPr>
                <w:rFonts w:ascii="仿宋_GB2312" w:hAnsi="仿宋_GB2312" w:cs="仿宋_GB2312" w:eastAsia="仿宋_GB2312"/>
              </w:rPr>
              <w:t>提供近三年（2023年4月1日至今） 类似项目业绩，每提供一个类似项目业绩计2.5分，满分5分（以施工合同为准，时间以合同内时间为准 ，提供复印件加盖供应商公章）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 价格分为满分。其他供应商的价格 分统一按照下列公式计算： 磋商报 价得分=（磋商基准价/最后磋商报 价） ×价格权值×100 备注： 当磋 商小组认为某个供应商的报价明显 低于其他通过符合性审查供应商的 报价，有可能影响工程质量和不能 诚信履约的，应要求该供应商在评 标现场合理的时间内提供书面说明 ，必要时提交相关证明材料； 供应 商不能证明其报价合理的，磋商小组将其作为无效磋商处理。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详见附件：技术标响应方案.docx</w:t>
      </w:r>
    </w:p>
    <w:p>
      <w:pPr>
        <w:pStyle w:val="null3"/>
        <w:ind w:firstLine="960"/>
      </w:pPr>
      <w:r>
        <w:rPr>
          <w:rFonts w:ascii="仿宋_GB2312" w:hAnsi="仿宋_GB2312" w:cs="仿宋_GB2312" w:eastAsia="仿宋_GB2312"/>
        </w:rPr>
        <w:t>详见附件：其他需满足的资格条款.docx</w:t>
      </w:r>
    </w:p>
    <w:p>
      <w:pPr>
        <w:pStyle w:val="null3"/>
        <w:ind w:firstLine="960"/>
      </w:pPr>
      <w:r>
        <w:rPr>
          <w:rFonts w:ascii="仿宋_GB2312" w:hAnsi="仿宋_GB2312" w:cs="仿宋_GB2312" w:eastAsia="仿宋_GB2312"/>
        </w:rPr>
        <w:t>详见附件：商务标响应方案.docx</w:t>
      </w:r>
    </w:p>
    <w:p>
      <w:pPr>
        <w:pStyle w:val="null3"/>
        <w:ind w:firstLine="960"/>
      </w:pPr>
      <w:r>
        <w:rPr>
          <w:rFonts w:ascii="仿宋_GB2312" w:hAnsi="仿宋_GB2312" w:cs="仿宋_GB2312" w:eastAsia="仿宋_GB2312"/>
        </w:rPr>
        <w:t>详见附件：项目经理无在建工程、无不良记录承诺书.docx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