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版本号：XDZ2026-36-N-18、XACH2026-03120260417001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辖区内大件垃圾及杂物清理项目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XDZ2026-36-N-18、XACH2026-031</w:t>
      </w:r>
      <w:r>
        <w:br/>
      </w:r>
      <w:r>
        <w:br/>
      </w:r>
      <w:r>
        <w:br/>
      </w:r>
    </w:p>
    <w:p>
      <w:pPr>
        <w:pStyle w:val="null3"/>
        <w:jc w:val="center"/>
        <w:outlineLvl w:val="2"/>
      </w:pPr>
      <w:r>
        <w:rPr>
          <w:rFonts w:ascii="仿宋_GB2312" w:hAnsi="仿宋_GB2312" w:cs="仿宋_GB2312" w:eastAsia="仿宋_GB2312"/>
          <w:sz w:val="28"/>
          <w:b/>
        </w:rPr>
        <w:t>西安市长安区细柳街道办事处</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西安市长安区细柳街道办事处</w:t>
      </w:r>
      <w:r>
        <w:rPr>
          <w:rFonts w:ascii="仿宋_GB2312" w:hAnsi="仿宋_GB2312" w:cs="仿宋_GB2312" w:eastAsia="仿宋_GB2312"/>
        </w:rPr>
        <w:t>委托，拟对</w:t>
      </w:r>
      <w:r>
        <w:rPr>
          <w:rFonts w:ascii="仿宋_GB2312" w:hAnsi="仿宋_GB2312" w:cs="仿宋_GB2312" w:eastAsia="仿宋_GB2312"/>
        </w:rPr>
        <w:t>辖区内大件垃圾及杂物清理项目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XDZ2026-36-N-18、XACH2026-031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辖区内大件垃圾及杂物清理项目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本次采购2026年辖区内大件垃圾及杂物清理服务。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西安市长安区细柳街道办事处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西安市长安区细柳街道府君庙甲字四号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029-85962302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文奕奕、商碧红、王文文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029-87563729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人支付代理服务费，代理服务费参照《国家计委关于印发&lt;招标代理服务收费管理暂行办法&gt;的通知》（计价格〔2002〕1980号）和发改办价格〔2003〕857号以及发改价格〔2011〕534号文中规定的标准执行。根据差额定率累进计费方式，100万以下按1.5%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西安市长安区细柳街道办事处</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西安市长安区细柳街道办事处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西安市长安区细柳街道办事处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达到竞争性磋商文件及国家规定的“合格”标准。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联系人：文奕奕、商碧红、王文文</w:t>
      </w:r>
    </w:p>
    <w:p>
      <w:pPr>
        <w:pStyle w:val="null3"/>
      </w:pPr>
      <w:r>
        <w:rPr>
          <w:rFonts w:ascii="仿宋_GB2312" w:hAnsi="仿宋_GB2312" w:cs="仿宋_GB2312" w:eastAsia="仿宋_GB2312"/>
        </w:rPr>
        <w:t>联系电话：029-87563729</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本次采购2026年辖区内大件垃圾及杂物清理服务。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辖区内废弃家具家电等杂物及除建筑垃圾之外的无主垃圾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标的名称：辖区内废弃家具家电等杂物及除建筑垃圾之外的无主垃圾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结合细柳街道实际环境卫生现状，需对锦业四路、祝秦路、东渠村、西渠村、杨柳村等出村路及村庄周边乱扔乱倒废旧杂物及大件垃圾清运</w:t>
            </w:r>
            <w:r>
              <w:rPr>
                <w:rFonts w:ascii="仿宋_GB2312" w:hAnsi="仿宋_GB2312" w:cs="仿宋_GB2312" w:eastAsia="仿宋_GB2312"/>
              </w:rPr>
              <w:t>，</w:t>
            </w:r>
            <w:r>
              <w:rPr>
                <w:rFonts w:ascii="仿宋_GB2312" w:hAnsi="仿宋_GB2312" w:cs="仿宋_GB2312" w:eastAsia="仿宋_GB2312"/>
              </w:rPr>
              <w:t>改善细柳街道人居环境</w:t>
            </w:r>
            <w:r>
              <w:rPr>
                <w:rFonts w:ascii="仿宋_GB2312" w:hAnsi="仿宋_GB2312" w:cs="仿宋_GB2312" w:eastAsia="仿宋_GB2312"/>
              </w:rPr>
              <w:t>。</w:t>
            </w:r>
          </w:p>
          <w:p>
            <w:pPr>
              <w:pStyle w:val="null3"/>
            </w:pPr>
            <w:r>
              <w:rPr>
                <w:rFonts w:ascii="仿宋_GB2312" w:hAnsi="仿宋_GB2312" w:cs="仿宋_GB2312" w:eastAsia="仿宋_GB2312"/>
              </w:rPr>
              <w:t>二、服务期限：一年</w:t>
            </w:r>
          </w:p>
          <w:p>
            <w:pPr>
              <w:pStyle w:val="null3"/>
            </w:pPr>
            <w:r>
              <w:rPr>
                <w:rFonts w:ascii="仿宋_GB2312" w:hAnsi="仿宋_GB2312" w:cs="仿宋_GB2312" w:eastAsia="仿宋_GB2312"/>
              </w:rPr>
              <w:t>三、服务范围：辖区内废弃家具、家电等杂物及除建筑垃圾之外的无主垃圾</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1.供应商对机械、车辆油耗、维修等自行解决。</w:t>
            </w:r>
          </w:p>
          <w:p>
            <w:pPr>
              <w:pStyle w:val="null3"/>
            </w:pPr>
            <w:r>
              <w:rPr>
                <w:rFonts w:ascii="仿宋_GB2312" w:hAnsi="仿宋_GB2312" w:cs="仿宋_GB2312" w:eastAsia="仿宋_GB2312"/>
              </w:rPr>
              <w:t>2.垃圾消纳需注明垃圾去向。</w:t>
            </w:r>
          </w:p>
          <w:p>
            <w:pPr>
              <w:pStyle w:val="null3"/>
            </w:pPr>
            <w:r>
              <w:rPr>
                <w:rFonts w:ascii="仿宋_GB2312" w:hAnsi="仿宋_GB2312" w:cs="仿宋_GB2312" w:eastAsia="仿宋_GB2312"/>
              </w:rPr>
              <w:t>3.保障环境卫生，整治无故障运行同时要按照相关规定规范操作，确保整治工作中作业安全。若出现不安全施工，由供应商自行解决。</w:t>
            </w:r>
          </w:p>
          <w:p>
            <w:pPr>
              <w:pStyle w:val="null3"/>
            </w:pPr>
            <w:r>
              <w:rPr>
                <w:rFonts w:ascii="仿宋_GB2312" w:hAnsi="仿宋_GB2312" w:cs="仿宋_GB2312" w:eastAsia="仿宋_GB2312"/>
              </w:rPr>
              <w:t>4.街办有权对车辆、机械等进行监督施工。</w:t>
            </w:r>
          </w:p>
          <w:p>
            <w:pPr>
              <w:pStyle w:val="null3"/>
            </w:pPr>
            <w:r>
              <w:rPr>
                <w:rFonts w:ascii="仿宋_GB2312" w:hAnsi="仿宋_GB2312" w:cs="仿宋_GB2312" w:eastAsia="仿宋_GB2312"/>
              </w:rPr>
              <w:t>5.家电类如需回收的，不得混入生活垃圾焚烧。</w:t>
            </w:r>
          </w:p>
          <w:p>
            <w:pPr>
              <w:pStyle w:val="null3"/>
            </w:pPr>
            <w:r>
              <w:rPr>
                <w:rFonts w:ascii="仿宋_GB2312" w:hAnsi="仿宋_GB2312" w:cs="仿宋_GB2312" w:eastAsia="仿宋_GB2312"/>
              </w:rPr>
              <w:t>6.每车次记录时间、地点、类型、重量/车次。</w:t>
            </w:r>
          </w:p>
          <w:p>
            <w:pPr>
              <w:pStyle w:val="null3"/>
            </w:pPr>
            <w:r>
              <w:rPr>
                <w:rFonts w:ascii="仿宋_GB2312" w:hAnsi="仿宋_GB2312" w:cs="仿宋_GB2312" w:eastAsia="仿宋_GB2312"/>
              </w:rPr>
              <w:t>五、技术要求</w:t>
            </w:r>
          </w:p>
          <w:p>
            <w:pPr>
              <w:pStyle w:val="null3"/>
            </w:pPr>
            <w:r>
              <w:rPr>
                <w:rFonts w:ascii="仿宋_GB2312" w:hAnsi="仿宋_GB2312" w:cs="仿宋_GB2312" w:eastAsia="仿宋_GB2312"/>
              </w:rPr>
              <w:t>须符合《大件垃圾收集和利用技术要求》</w:t>
            </w:r>
            <w:r>
              <w:rPr>
                <w:rFonts w:ascii="仿宋_GB2312" w:hAnsi="仿宋_GB2312" w:cs="仿宋_GB2312" w:eastAsia="仿宋_GB2312"/>
              </w:rPr>
              <w:t>(GB/T25175-2010)及国家环保等相关要求。</w:t>
            </w:r>
          </w:p>
          <w:p>
            <w:pPr>
              <w:pStyle w:val="null3"/>
            </w:pPr>
            <w:r>
              <w:rPr>
                <w:rFonts w:ascii="仿宋_GB2312" w:hAnsi="仿宋_GB2312" w:cs="仿宋_GB2312" w:eastAsia="仿宋_GB2312"/>
              </w:rPr>
              <w:t>六、工作量清单及单价限价</w:t>
            </w:r>
          </w:p>
          <w:tbl>
            <w:tblPr>
              <w:tblBorders>
                <w:top w:val="none" w:color="000000" w:sz="4"/>
                <w:left w:val="none" w:color="000000" w:sz="4"/>
                <w:bottom w:val="none" w:color="000000" w:sz="4"/>
                <w:right w:val="none" w:color="000000" w:sz="4"/>
                <w:insideH w:val="none"/>
                <w:insideV w:val="none"/>
              </w:tblBorders>
            </w:tblPr>
            <w:tblGrid>
              <w:gridCol w:w="392"/>
              <w:gridCol w:w="768"/>
              <w:gridCol w:w="480"/>
              <w:gridCol w:w="912"/>
            </w:tblGrid>
            <w:tr>
              <w:tc>
                <w:tcPr>
                  <w:tcW w:type="dxa" w:w="392"/>
                  <w:tcBorders>
                    <w:top w:val="single" w:color="000000" w:sz="8"/>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序号</w:t>
                  </w:r>
                </w:p>
              </w:tc>
              <w:tc>
                <w:tcPr>
                  <w:tcW w:type="dxa" w:w="768"/>
                  <w:tcBorders>
                    <w:top w:val="single" w:color="000000" w:sz="8"/>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清单项目</w:t>
                  </w:r>
                </w:p>
              </w:tc>
              <w:tc>
                <w:tcPr>
                  <w:tcW w:type="dxa" w:w="480"/>
                  <w:tcBorders>
                    <w:top w:val="single" w:color="000000" w:sz="8"/>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工作量</w:t>
                  </w:r>
                </w:p>
              </w:tc>
              <w:tc>
                <w:tcPr>
                  <w:tcW w:type="dxa" w:w="912"/>
                  <w:tcBorders>
                    <w:top w:val="single" w:color="000000" w:sz="8"/>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单价限价</w:t>
                  </w:r>
                </w:p>
              </w:tc>
            </w:tr>
            <w:tr>
              <w:tc>
                <w:tcPr>
                  <w:tcW w:type="dxa" w:w="392"/>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w:t>
                  </w:r>
                </w:p>
              </w:tc>
              <w:tc>
                <w:tcPr>
                  <w:tcW w:type="dxa" w:w="768"/>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人工（一年）</w:t>
                  </w:r>
                </w:p>
              </w:tc>
              <w:tc>
                <w:tcPr>
                  <w:tcW w:type="dxa" w:w="480"/>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125人次</w:t>
                  </w:r>
                </w:p>
              </w:tc>
              <w:tc>
                <w:tcPr>
                  <w:tcW w:type="dxa" w:w="912"/>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200元/人/天</w:t>
                  </w:r>
                </w:p>
              </w:tc>
            </w:tr>
            <w:tr>
              <w:tc>
                <w:tcPr>
                  <w:tcW w:type="dxa" w:w="392"/>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w:t>
                  </w:r>
                </w:p>
              </w:tc>
              <w:tc>
                <w:tcPr>
                  <w:tcW w:type="dxa" w:w="768"/>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清运车次（容量</w:t>
                  </w:r>
                  <w:r>
                    <w:rPr>
                      <w:rFonts w:ascii="仿宋_GB2312" w:hAnsi="仿宋_GB2312" w:cs="仿宋_GB2312" w:eastAsia="仿宋_GB2312"/>
                      <w:sz w:val="21"/>
                    </w:rPr>
                    <w:t>8方）</w:t>
                  </w:r>
                </w:p>
              </w:tc>
              <w:tc>
                <w:tcPr>
                  <w:tcW w:type="dxa" w:w="480"/>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550车次</w:t>
                  </w:r>
                </w:p>
              </w:tc>
              <w:tc>
                <w:tcPr>
                  <w:tcW w:type="dxa" w:w="912"/>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700元/车次</w:t>
                  </w:r>
                </w:p>
              </w:tc>
            </w:tr>
            <w:tr>
              <w:tc>
                <w:tcPr>
                  <w:tcW w:type="dxa" w:w="392"/>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w:t>
                  </w:r>
                </w:p>
              </w:tc>
              <w:tc>
                <w:tcPr>
                  <w:tcW w:type="dxa" w:w="768"/>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装载机</w:t>
                  </w:r>
                  <w:r>
                    <w:rPr>
                      <w:rFonts w:ascii="仿宋_GB2312" w:hAnsi="仿宋_GB2312" w:cs="仿宋_GB2312" w:eastAsia="仿宋_GB2312"/>
                      <w:sz w:val="21"/>
                    </w:rPr>
                    <w:t>(型号30#)</w:t>
                  </w:r>
                </w:p>
              </w:tc>
              <w:tc>
                <w:tcPr>
                  <w:tcW w:type="dxa" w:w="480"/>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35台班</w:t>
                  </w:r>
                </w:p>
              </w:tc>
              <w:tc>
                <w:tcPr>
                  <w:tcW w:type="dxa" w:w="912"/>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2000元/台班</w:t>
                  </w:r>
                </w:p>
              </w:tc>
            </w:tr>
          </w:tbl>
          <w:p>
            <w:pPr>
              <w:pStyle w:val="null3"/>
            </w:pPr>
            <w:r>
              <w:rPr>
                <w:rFonts w:ascii="仿宋_GB2312" w:hAnsi="仿宋_GB2312" w:cs="仿宋_GB2312" w:eastAsia="仿宋_GB2312"/>
              </w:rPr>
              <w:t>注：</w:t>
            </w:r>
            <w:r>
              <w:rPr>
                <w:rFonts w:ascii="仿宋_GB2312" w:hAnsi="仿宋_GB2312" w:cs="仿宋_GB2312" w:eastAsia="仿宋_GB2312"/>
              </w:rPr>
              <w:t>1、本工作量为暂定数量，最终以实际工作量及成交单价据实结算为准。</w:t>
            </w:r>
          </w:p>
          <w:p>
            <w:pPr>
              <w:pStyle w:val="null3"/>
            </w:pPr>
            <w:r>
              <w:rPr>
                <w:rFonts w:ascii="仿宋_GB2312" w:hAnsi="仿宋_GB2312" w:cs="仿宋_GB2312" w:eastAsia="仿宋_GB2312"/>
              </w:rPr>
              <w:t xml:space="preserve">       2、垃圾消纳场地为采购人指定地点，分拣后去往消纳垃圾场地消纳垃圾量约</w:t>
            </w:r>
            <w:r>
              <w:rPr>
                <w:rFonts w:ascii="仿宋_GB2312" w:hAnsi="仿宋_GB2312" w:cs="仿宋_GB2312" w:eastAsia="仿宋_GB2312"/>
              </w:rPr>
              <w:t>3500方</w:t>
            </w:r>
            <w:r>
              <w:rPr>
                <w:rFonts w:ascii="仿宋_GB2312" w:hAnsi="仿宋_GB2312" w:cs="仿宋_GB2312" w:eastAsia="仿宋_GB2312"/>
                <w:sz w:val="24"/>
              </w:rPr>
              <w:t>。</w:t>
            </w:r>
          </w:p>
          <w:p>
            <w:pPr>
              <w:pStyle w:val="null3"/>
            </w:pPr>
            <w:r>
              <w:rPr>
                <w:rFonts w:ascii="仿宋_GB2312" w:hAnsi="仿宋_GB2312" w:cs="仿宋_GB2312" w:eastAsia="仿宋_GB2312"/>
              </w:rPr>
              <w:t xml:space="preserve">       3、各供应商报价不得超过最高限价及各分项限价，否则其响应文件将按无效处理。</w:t>
            </w:r>
          </w:p>
          <w:p>
            <w:pPr>
              <w:pStyle w:val="null3"/>
            </w:pPr>
            <w:r>
              <w:rPr>
                <w:rFonts w:ascii="仿宋_GB2312" w:hAnsi="仿宋_GB2312" w:cs="仿宋_GB2312" w:eastAsia="仿宋_GB2312"/>
                <w:sz w:val="21"/>
              </w:rPr>
              <w:t>七、质量要求：达到相关质量要求合格标准。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根据技术参数与性能指标配备相应人数，确保项目顺利实施。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根据技术参数与性能指标配备相应设备，确保项目顺利实施。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锦业四路、祝秦路、东渠村、西渠村、杨柳村等出村路及村庄周边乱扔乱倒废旧杂物及大件垃圾清运。</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达到竞争性磋商文件及国家规定的“合格”标准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按月结算，每月工作完成后，由供应商提供结算所需资料，次月以最终实际工作量及成交单价据实结算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按月结算，每月工作完成后，由供应商提供结算所需资料，次月以最终实际工作量及成交单价据实结算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按月结算，每月工作完成后，由供应商提供结算所需资料，次月以最终实际工作量及成交单价据实结算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按月结算，每月工作完成后，由供应商提供结算所需资料，次月以最终实际工作量及成交单价据实结算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按月结算，每月工作完成后，由供应商提供结算所需资料，次月以最终实际工作量及成交单价据实结算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按月结算，每月工作完成后，由供应商提供结算所需资料，次月以最终实际工作量及成交单价据实结算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按月结算，每月工作完成后，由供应商提供结算所需资料，次月以最终实际工作量及成交单价据实结算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按月结算，每月工作完成后，由供应商提供结算所需资料，次月以最终实际工作量及成交单价据实结算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按月结算，每月工作完成后，由供应商提供结算所需资料，次月以最终实际工作量及成交单价据实结算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按月结算，每月工作完成后，由供应商提供结算所需资料，次月以最终实际工作量及成交单价据实结算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按月结算，每月工作完成后，由供应商提供结算所需资料，次月以最终实际工作量及成交单价据实结算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按月结算，每月工作完成后，由供应商提供结算所需资料，次月以最终实际工作量及成交单价据实结算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采购人对供应商垃圾清运工作提出整改意见时，供应商需积极响应，并在3日内按照采购人要求无条件进行调整。供应商连续调整3次仍无法达到采购人要求或供应商拒绝调整的，采购人有权单方解除合同（合同自采购人书面解除通知送达供应商之日起解除），要求其支付合同暂定金额的20％违约金，违约金不足以弥补采购人损失的，供应商需另行支付。 2.双方在合同履行过程中如未取得对方的书面同意，一方不能提前解除合同。如果未经对方同意解除合同，应承担违约责任。 3.在本合同履行过程中，双方因违约或造成对方经济、社会效益等损失的应当赔偿。 4.未经采购人同意，供应商不得擅自将本合同服务转包第三方承担。 解决争议：因本合同或与本合同有关的一切事项发生争议，由双方友好协商解决。协商不成的，任何一方均可选择以下方式解决：1、向采购人所在地仲裁委员会申请仲裁。2、向采购人所在地人民法院提起诉讼。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报价为完成本项目磋商文件中所提出的工作范围及要求的全部内容，并达到国家及采购人验收标准而产生的所有费用，包括但不限于完成该项目的人工费、材料费、拆除费、运输费（油费、折旧、维修）、垃圾消纳处置费、防污治霾费、管理费、利润、税金、保险费、代理费、其它费用以及合同明示或暗示的所有风险、责任和义务等全部费用。任何错报、漏报由供应商自行负责。 3.4.2成交人领取成交通知书时须向代理机构提交纸质版响应文件：正本壹份、副本壹份、电子版（U盘）贰份。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（一）出现下列情形之一的，磋商小组应当启动异常低价投标（响应）审查程序：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4.磋商小组基于专业判断，认为供应商报价过低，有可能影响产品质量或者不能诚信履约的其他情形。 （二）磋商小组启动异常低价投标审查后，属于前述第1项至第4项情形的，相关供应商在30分钟内通过项目电子化交易系统进行提交，对投标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投标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报价一览表及分项报价表.docx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服务内容及服务邀请应答表 中小企业声明函 商务应答表 承诺书 报价表 业绩证明文件及响应方案说明 响应文件封面 报价一览表及分项报价表.docx 资格证明文件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磋商响应有效期达到磋商文件的要求。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报价一览表及分项报价表.docx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服务内容及服务邀请应答表 中小企业声明函 商务应答表 承诺书 报价表 业绩证明文件及响应方案说明 响应文件封面 报价一览表及分项报价表.docx 资格证明文件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服务内容及服务邀请应答表 中小企业声明函 商务应答表 承诺书 报价表 业绩证明文件及响应方案说明 响应文件封面 报价一览表及分项报价表.docx 资格证明文件 残疾人福利性单位声明函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服务内容及服务邀请应答表 中小企业声明函 商务应答表 承诺书 报价表 业绩证明文件及响应方案说明 响应文件封面 报价一览表及分项报价表.docx 资格证明文件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提供2023年以来类似项目业绩合同（以合同签订时间为准），每份计2分，满分8分。（注：以上证明文件在磋商响应文件中附业绩合同扫描件并加盖公司公章。）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①大件垃圾及杂物清理方案；②垃圾运输实施方案；③垃圾消纳方案；④环境保护措施方案 二、评审标准 1.完整性：方案须全面，对评审内容中的各项要求有详细描述； 2.可实施性：切合本项目实际情况，实施步骤清晰、合理； 3.针对性：方案能够紧扣项目实际情况，内容科学合理。 三、赋分标准 ①大件垃圾及杂物清理方案：每完全满足一项评审标准计1分，满分3分。 ②垃圾运输实施方案：每完全满足一项评审标准计1分，满分3分。 ③垃圾消纳方案：每完全满足一项评审标准计1分，满分3分。 ④环境保护措施方案 ：每完全满足一项评审标准计1分，满分3分。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拟投入本项目的团队人员配置方案</w:t>
            </w:r>
          </w:p>
        </w:tc>
        <w:tc>
          <w:tcPr>
            <w:tcW w:type="dxa" w:w="2492"/>
          </w:tcPr>
          <w:p>
            <w:pPr>
              <w:pStyle w:val="null3"/>
            </w:pPr>
            <w:r>
              <w:rPr>
                <w:rFonts w:ascii="仿宋_GB2312" w:hAnsi="仿宋_GB2312" w:cs="仿宋_GB2312" w:eastAsia="仿宋_GB2312"/>
              </w:rPr>
              <w:t>一、评审内容 ①人员配置计划；②人员绩效考核与激励机制。 二、评审标准 1.完整性：方案须全面，对评审内容中的各项要求有详细描述； 2.可实施性：切合本项目实际情况，实施步骤清晰、合理； 3.针对性：方案能够紧扣项目实际情况，内容科学合理。 三、赋分标准 ①人员配置计划：每完全满足一项评审标准计1分，满分3分。 ②人员绩效考核与激励机制：每完全满足一项评审标准计1分，满分3分。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作业安全保障方案</w:t>
            </w:r>
          </w:p>
        </w:tc>
        <w:tc>
          <w:tcPr>
            <w:tcW w:type="dxa" w:w="2492"/>
          </w:tcPr>
          <w:p>
            <w:pPr>
              <w:pStyle w:val="null3"/>
            </w:pPr>
            <w:r>
              <w:rPr>
                <w:rFonts w:ascii="仿宋_GB2312" w:hAnsi="仿宋_GB2312" w:cs="仿宋_GB2312" w:eastAsia="仿宋_GB2312"/>
              </w:rPr>
              <w:t>一、评审内容 ①现场清理安全保障措施；②运输装备安全管理；③人员作业安全规范。 二、评审标准 1.完整性：方案须全面，对评审内容中的各项要求有详细描述； 2.可实施性：切合本项目实际情况，实施步骤清晰、合理； 3.针对性：方案能够紧扣项目实际情况，内容科学合理。 三、赋分标准 ①现场清理安全保障措施：每完全满足一项评审标准计1分，满分3分。 ②运输装备安全管理：每完全满足一项评审标准计1分，满分3分。 ③人员作业安全规范：每完全满足一项评审标准计1分，满分3分。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制定作业进度计划方案</w:t>
            </w:r>
          </w:p>
        </w:tc>
        <w:tc>
          <w:tcPr>
            <w:tcW w:type="dxa" w:w="2492"/>
          </w:tcPr>
          <w:p>
            <w:pPr>
              <w:pStyle w:val="null3"/>
            </w:pPr>
            <w:r>
              <w:rPr>
                <w:rFonts w:ascii="仿宋_GB2312" w:hAnsi="仿宋_GB2312" w:cs="仿宋_GB2312" w:eastAsia="仿宋_GB2312"/>
              </w:rPr>
              <w:t>一、评审内容 根据本项目的具体情况，设置合理的进度控制点及具体的进度计划。 二、评审标准 1.完整性：方案须全面，对评审内容中的各项要求有详细描述； 2.可实施性：切合本项目实际情况，实施步骤清晰、合理； 3.针对性：方案能够紧扣项目实际情况，内容科学合理。 三、赋分标准 根据本项目的具体情况，设置合理的进度控制点及具体的进度计划：每完全满足一项评审标准计1分，满分3分。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提供针对本项目具有良好的管理制度，包含：①岗位职责：具有岗位工作标准、服务质量标准、现场质量控制体系；②内控制度：管理组织机构、问责机制、监督机制；③人员管理制度：具有员工日常管理办法、培训制度、请销假制度、仪容仪表制度。 二、评审标准 1.完整性：方案须全面，对评审内容中的各项要求有详细描述； 2.可实施性：切合本项目实际情况，实施步骤清晰、合理； 3.针对性：方案能够紧扣项目实际情况，内容科学合理。 三、赋分标准 ①岗位职责：每完全满足一项评审标准计1分，满分3分。 ②内控制度：每完全满足一项评审标准计1分，满分3分。 ③人员管理制度：每完全满足一项评审标准计1分，满分3分。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拟投入机械设备、工具配置方案</w:t>
            </w:r>
          </w:p>
        </w:tc>
        <w:tc>
          <w:tcPr>
            <w:tcW w:type="dxa" w:w="2492"/>
          </w:tcPr>
          <w:p>
            <w:pPr>
              <w:pStyle w:val="null3"/>
            </w:pPr>
            <w:r>
              <w:rPr>
                <w:rFonts w:ascii="仿宋_GB2312" w:hAnsi="仿宋_GB2312" w:cs="仿宋_GB2312" w:eastAsia="仿宋_GB2312"/>
              </w:rPr>
              <w:t>一、评审内容 拟投入机械设备配置方案包括①道路清扫保洁及垃圾清运车辆配置；②清运劳动工具配置；③机械设备维修保障方案。 二、评审标准 1.完整性：方案须全面，对评审内容中的各项要求有详细描述； 2.可实施性：切合本项目实际情况，实施步骤清晰、合理； 3.针对性：方案能够紧扣项目实际情况，内容科学合理。 三、赋分标准①道路清扫保洁及垃圾清运车辆配置：每完全满足一项评审标准计1分，满分3分。 ②清运劳动工具配置：每完全满足一项评审标准计1分，满分3分。③机械设备维修保障方案：每完全满足一项评审标准计1分，满分3分。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 ①各类突发事件应急处理措施；②应急响应流程与责任人③ 应急资源储备 二、评审标准 1.完整性：方案须全面，对评审内容中的各项要求有详细描述； 2.可实施性：切合本项目实际情况，实施步骤清晰、合理； 3.针对性：方案能够紧扣项目实际情况，内容科学合理。 三、赋分标准 ①各类突发事件应急处理措施：每完全满足一项评审标准计1分，满分3分。 ②应急响应流程与责任人：每完全满足一项评审标准计1分，满分3分。③应急资源储备：每完全满足一项评审标准计1分，满分3分。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①承诺完全响应磋商文件和合同条款的要求；②人员配备响应承诺；③服务质量承诺及时间安排保证；④服务优化与改进机制；⑤承诺在合同履行中采购人若提出意见全力配合整改。 二、评审标准 1.完整性：方案须全面，对评审内容中的各项要求有详细描述； 2.可实施性：切合本项目实际情况，实施步骤清晰、合理； 3.针对性：方案能够紧扣项目实际情况，内容科学合理。 三、赋分标准 ①承诺完全响应磋商文件和合同条款的要求：每完全满足一项评审标准计1分，满分3分。 ②人员配备响应承诺：每完全满足一项评审标准计1分，满分3分。 ③服务质量承诺及时间安排保证：每完全满足一项评审标准计1分，满分3分。 ④服务优化与改进机制：每完全满足一项评审标准计1分，满分3分。⑤承诺在合同履行中采购人若提出意见全力配合整改：每完全满足一项评审标准计1分，满分3分。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对应的中小企业划分标准所属行业为：其他未列明行业。根据《工业和信息化部、国家统计局、国家发展和改革委员会、财政部关于印发中小企业划型标准规定的通知》（工信部联企业〔2011〕300号）规定的划分标准，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报价一览表及分项报价表.docx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详见附件：报价一览表及分项报价表.docx</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详见附件：业绩证明文件及响应方案说明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