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6DC2A">
      <w:pPr>
        <w:pStyle w:val="8"/>
        <w:pageBreakBefore w:val="0"/>
        <w:wordWrap/>
        <w:topLinePunct w:val="0"/>
        <w:bidi w:val="0"/>
        <w:spacing w:line="520" w:lineRule="exact"/>
        <w:jc w:val="center"/>
        <w:outlineLvl w:val="1"/>
        <w:rPr>
          <w:color w:val="auto"/>
        </w:rPr>
      </w:pPr>
      <w:r>
        <w:rPr>
          <w:rFonts w:ascii="仿宋_GB2312" w:hAnsi="仿宋_GB2312" w:eastAsia="仿宋_GB2312" w:cs="仿宋_GB2312"/>
          <w:b/>
          <w:color w:val="auto"/>
          <w:sz w:val="36"/>
        </w:rPr>
        <w:t>第八章 拟签订采购合同文本</w:t>
      </w:r>
    </w:p>
    <w:p w14:paraId="6DD18BCB">
      <w:pPr>
        <w:pageBreakBefore w:val="0"/>
        <w:kinsoku/>
        <w:wordWrap/>
        <w:overflowPunct w:val="0"/>
        <w:topLinePunct w:val="0"/>
        <w:bidi w:val="0"/>
        <w:spacing w:line="520" w:lineRule="exact"/>
        <w:jc w:val="center"/>
        <w:rPr>
          <w:rFonts w:hint="eastAsia" w:ascii="仿宋" w:hAnsi="仿宋" w:eastAsia="仿宋" w:cs="仿宋"/>
          <w:b/>
          <w:color w:val="auto"/>
          <w:sz w:val="48"/>
          <w:szCs w:val="56"/>
          <w:highlight w:val="none"/>
        </w:rPr>
      </w:pPr>
    </w:p>
    <w:p w14:paraId="4B46AA2C">
      <w:pPr>
        <w:pageBreakBefore w:val="0"/>
        <w:kinsoku/>
        <w:wordWrap/>
        <w:overflowPunct w:val="0"/>
        <w:topLinePunct w:val="0"/>
        <w:bidi w:val="0"/>
        <w:spacing w:line="520" w:lineRule="exact"/>
        <w:jc w:val="center"/>
        <w:rPr>
          <w:rFonts w:hint="eastAsia" w:ascii="仿宋" w:hAnsi="仿宋" w:eastAsia="仿宋" w:cs="仿宋"/>
          <w:b/>
          <w:color w:val="auto"/>
          <w:sz w:val="48"/>
          <w:szCs w:val="56"/>
          <w:highlight w:val="none"/>
        </w:rPr>
      </w:pPr>
    </w:p>
    <w:p w14:paraId="67065FEF">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r>
        <w:rPr>
          <w:rFonts w:hint="eastAsia" w:ascii="仿宋" w:hAnsi="仿宋" w:eastAsia="仿宋" w:cs="仿宋"/>
          <w:b/>
          <w:color w:val="auto"/>
          <w:sz w:val="40"/>
          <w:szCs w:val="48"/>
          <w:highlight w:val="none"/>
          <w:lang w:eastAsia="zh-CN"/>
        </w:rPr>
        <w:t>西安市长安区细柳街道办事处辖区内大件垃圾及杂物清理项目</w:t>
      </w:r>
    </w:p>
    <w:p w14:paraId="6EE25F16">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p>
    <w:p w14:paraId="7544C9B1">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合 同</w:t>
      </w:r>
    </w:p>
    <w:p w14:paraId="08D49CDD">
      <w:pPr>
        <w:pStyle w:val="3"/>
        <w:keepNext w:val="0"/>
        <w:keepLines w:val="0"/>
        <w:pageBreakBefore w:val="0"/>
        <w:widowControl/>
        <w:kinsoku/>
        <w:wordWrap/>
        <w:overflowPunct w:val="0"/>
        <w:topLinePunct w:val="0"/>
        <w:autoSpaceDE w:val="0"/>
        <w:autoSpaceDN w:val="0"/>
        <w:bidi w:val="0"/>
        <w:adjustRightInd w:val="0"/>
        <w:snapToGrid w:val="0"/>
        <w:spacing w:line="520" w:lineRule="exact"/>
        <w:ind w:firstLine="0"/>
        <w:textAlignment w:val="baseline"/>
        <w:rPr>
          <w:rFonts w:hint="eastAsia"/>
          <w:color w:val="auto"/>
          <w:highlight w:val="none"/>
        </w:rPr>
      </w:pPr>
      <w:r>
        <w:rPr>
          <w:rFonts w:hint="eastAsia" w:ascii="仿宋" w:hAnsi="仿宋" w:eastAsia="仿宋" w:cs="仿宋"/>
          <w:b/>
          <w:color w:val="auto"/>
          <w:kern w:val="0"/>
          <w:sz w:val="24"/>
          <w:szCs w:val="24"/>
          <w:highlight w:val="none"/>
        </w:rPr>
        <w:t>（本格式条款供双方签订合同参考，采购人可根据项目的实际情况增加条款和内容）</w:t>
      </w:r>
    </w:p>
    <w:p w14:paraId="70D1C9E7">
      <w:pPr>
        <w:pageBreakBefore w:val="0"/>
        <w:kinsoku/>
        <w:wordWrap/>
        <w:overflowPunct w:val="0"/>
        <w:topLinePunct w:val="0"/>
        <w:bidi w:val="0"/>
        <w:spacing w:line="520" w:lineRule="exact"/>
        <w:jc w:val="center"/>
        <w:rPr>
          <w:rFonts w:hint="eastAsia" w:ascii="仿宋" w:hAnsi="仿宋" w:eastAsia="仿宋" w:cs="仿宋"/>
          <w:b/>
          <w:color w:val="auto"/>
          <w:sz w:val="48"/>
          <w:szCs w:val="48"/>
          <w:highlight w:val="none"/>
        </w:rPr>
      </w:pPr>
    </w:p>
    <w:p w14:paraId="772B0A7D">
      <w:pPr>
        <w:pageBreakBefore w:val="0"/>
        <w:kinsoku/>
        <w:wordWrap/>
        <w:overflowPunct w:val="0"/>
        <w:topLinePunct w:val="0"/>
        <w:bidi w:val="0"/>
        <w:spacing w:line="520" w:lineRule="exact"/>
        <w:jc w:val="center"/>
        <w:rPr>
          <w:rFonts w:hint="eastAsia" w:ascii="仿宋" w:hAnsi="仿宋" w:eastAsia="仿宋" w:cs="仿宋"/>
          <w:b/>
          <w:color w:val="auto"/>
          <w:sz w:val="32"/>
          <w:szCs w:val="32"/>
          <w:highlight w:val="none"/>
        </w:rPr>
      </w:pPr>
    </w:p>
    <w:p w14:paraId="69E829DE">
      <w:pPr>
        <w:pageBreakBefore w:val="0"/>
        <w:kinsoku/>
        <w:wordWrap/>
        <w:overflowPunct w:val="0"/>
        <w:topLinePunct w:val="0"/>
        <w:bidi w:val="0"/>
        <w:spacing w:line="520" w:lineRule="exact"/>
        <w:jc w:val="center"/>
        <w:rPr>
          <w:rFonts w:hint="eastAsia" w:ascii="仿宋" w:hAnsi="仿宋" w:eastAsia="仿宋" w:cs="仿宋"/>
          <w:b/>
          <w:color w:val="auto"/>
          <w:sz w:val="32"/>
          <w:szCs w:val="32"/>
          <w:highlight w:val="none"/>
        </w:rPr>
      </w:pPr>
    </w:p>
    <w:p w14:paraId="15C9CC92">
      <w:pPr>
        <w:pageBreakBefore w:val="0"/>
        <w:kinsoku/>
        <w:wordWrap/>
        <w:overflowPunct w:val="0"/>
        <w:topLinePunct w:val="0"/>
        <w:bidi w:val="0"/>
        <w:spacing w:line="520" w:lineRule="exact"/>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721D112F">
      <w:pPr>
        <w:pageBreakBefore w:val="0"/>
        <w:kinsoku/>
        <w:wordWrap/>
        <w:overflowPunct w:val="0"/>
        <w:topLinePunct w:val="0"/>
        <w:bidi w:val="0"/>
        <w:spacing w:line="520" w:lineRule="exact"/>
        <w:rPr>
          <w:rFonts w:hint="eastAsia" w:ascii="仿宋" w:hAnsi="仿宋" w:eastAsia="仿宋" w:cs="仿宋"/>
          <w:b/>
          <w:color w:val="auto"/>
          <w:highlight w:val="none"/>
        </w:rPr>
      </w:pPr>
    </w:p>
    <w:p w14:paraId="01D4FFC4">
      <w:pPr>
        <w:pageBreakBefore w:val="0"/>
        <w:kinsoku/>
        <w:wordWrap/>
        <w:overflowPunct w:val="0"/>
        <w:topLinePunct w:val="0"/>
        <w:bidi w:val="0"/>
        <w:spacing w:line="520" w:lineRule="exact"/>
        <w:rPr>
          <w:rFonts w:hint="eastAsia" w:ascii="仿宋" w:hAnsi="仿宋" w:eastAsia="仿宋" w:cs="仿宋"/>
          <w:b/>
          <w:color w:val="auto"/>
          <w:highlight w:val="none"/>
        </w:rPr>
      </w:pPr>
    </w:p>
    <w:p w14:paraId="226820A3">
      <w:pPr>
        <w:pageBreakBefore w:val="0"/>
        <w:kinsoku/>
        <w:wordWrap/>
        <w:overflowPunct w:val="0"/>
        <w:topLinePunct w:val="0"/>
        <w:bidi w:val="0"/>
        <w:spacing w:line="520" w:lineRule="exact"/>
        <w:rPr>
          <w:rFonts w:hint="eastAsia" w:ascii="仿宋" w:hAnsi="仿宋" w:eastAsia="仿宋" w:cs="仿宋"/>
          <w:b/>
          <w:color w:val="auto"/>
          <w:highlight w:val="none"/>
        </w:rPr>
      </w:pPr>
    </w:p>
    <w:p w14:paraId="26FB616B">
      <w:pPr>
        <w:pageBreakBefore w:val="0"/>
        <w:kinsoku/>
        <w:wordWrap/>
        <w:overflowPunct w:val="0"/>
        <w:topLinePunct w:val="0"/>
        <w:bidi w:val="0"/>
        <w:spacing w:line="520" w:lineRule="exact"/>
        <w:rPr>
          <w:rFonts w:hint="eastAsia" w:ascii="仿宋" w:hAnsi="仿宋" w:eastAsia="仿宋" w:cs="仿宋"/>
          <w:b/>
          <w:color w:val="auto"/>
          <w:highlight w:val="none"/>
        </w:rPr>
      </w:pPr>
    </w:p>
    <w:p w14:paraId="4265D085">
      <w:pPr>
        <w:pageBreakBefore w:val="0"/>
        <w:kinsoku/>
        <w:wordWrap/>
        <w:overflowPunct w:val="0"/>
        <w:topLinePunct w:val="0"/>
        <w:bidi w:val="0"/>
        <w:spacing w:line="520" w:lineRule="exact"/>
        <w:rPr>
          <w:rFonts w:hint="eastAsia" w:ascii="仿宋" w:hAnsi="仿宋" w:eastAsia="仿宋" w:cs="仿宋"/>
          <w:b/>
          <w:color w:val="auto"/>
          <w:highlight w:val="none"/>
        </w:rPr>
      </w:pPr>
    </w:p>
    <w:p w14:paraId="1C10F332">
      <w:pPr>
        <w:pageBreakBefore w:val="0"/>
        <w:kinsoku/>
        <w:wordWrap/>
        <w:overflowPunct w:val="0"/>
        <w:topLinePunct w:val="0"/>
        <w:bidi w:val="0"/>
        <w:spacing w:line="520" w:lineRule="exact"/>
        <w:rPr>
          <w:rFonts w:hint="eastAsia"/>
          <w:color w:val="auto"/>
          <w:highlight w:val="none"/>
        </w:rPr>
      </w:pPr>
    </w:p>
    <w:p w14:paraId="447218AD">
      <w:pPr>
        <w:pStyle w:val="2"/>
        <w:pageBreakBefore w:val="0"/>
        <w:kinsoku/>
        <w:wordWrap/>
        <w:overflowPunct w:val="0"/>
        <w:topLinePunct w:val="0"/>
        <w:bidi w:val="0"/>
        <w:spacing w:line="520" w:lineRule="exact"/>
        <w:rPr>
          <w:rFonts w:hint="eastAsia"/>
          <w:color w:val="auto"/>
          <w:highlight w:val="none"/>
        </w:rPr>
      </w:pPr>
    </w:p>
    <w:p w14:paraId="579ECA32">
      <w:pPr>
        <w:pageBreakBefore w:val="0"/>
        <w:kinsoku/>
        <w:wordWrap/>
        <w:overflowPunct w:val="0"/>
        <w:topLinePunct w:val="0"/>
        <w:bidi w:val="0"/>
        <w:spacing w:line="520" w:lineRule="exact"/>
        <w:rPr>
          <w:rFonts w:hint="eastAsia"/>
          <w:color w:val="auto"/>
          <w:highlight w:val="none"/>
        </w:rPr>
      </w:pPr>
    </w:p>
    <w:p w14:paraId="79902D99">
      <w:pPr>
        <w:pageBreakBefore w:val="0"/>
        <w:kinsoku/>
        <w:wordWrap/>
        <w:overflowPunct w:val="0"/>
        <w:topLinePunct w:val="0"/>
        <w:bidi w:val="0"/>
        <w:spacing w:line="520" w:lineRule="exact"/>
        <w:rPr>
          <w:rFonts w:hint="eastAsia"/>
          <w:color w:val="auto"/>
          <w:highlight w:val="none"/>
        </w:rPr>
      </w:pPr>
    </w:p>
    <w:p w14:paraId="5970E24C">
      <w:pPr>
        <w:pStyle w:val="2"/>
        <w:pageBreakBefore w:val="0"/>
        <w:kinsoku/>
        <w:wordWrap/>
        <w:overflowPunct w:val="0"/>
        <w:topLinePunct w:val="0"/>
        <w:bidi w:val="0"/>
        <w:spacing w:line="520" w:lineRule="exact"/>
        <w:rPr>
          <w:rFonts w:hint="eastAsia"/>
          <w:color w:val="auto"/>
          <w:highlight w:val="none"/>
        </w:rPr>
      </w:pPr>
    </w:p>
    <w:p w14:paraId="3E0986E4">
      <w:pPr>
        <w:pageBreakBefore w:val="0"/>
        <w:kinsoku/>
        <w:wordWrap/>
        <w:overflowPunct w:val="0"/>
        <w:topLinePunct w:val="0"/>
        <w:bidi w:val="0"/>
        <w:spacing w:line="520" w:lineRule="exact"/>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甲方(采购人)：</w:t>
      </w:r>
      <w:r>
        <w:rPr>
          <w:rFonts w:hint="eastAsia" w:ascii="仿宋" w:hAnsi="仿宋" w:eastAsia="仿宋" w:cs="仿宋"/>
          <w:color w:val="auto"/>
          <w:spacing w:val="23"/>
          <w:sz w:val="28"/>
          <w:szCs w:val="28"/>
          <w:highlight w:val="none"/>
          <w:u w:val="single"/>
        </w:rPr>
        <w:t></w:t>
      </w:r>
    </w:p>
    <w:p w14:paraId="53A579F7">
      <w:pPr>
        <w:pageBreakBefore w:val="0"/>
        <w:kinsoku/>
        <w:wordWrap/>
        <w:overflowPunct w:val="0"/>
        <w:topLinePunct w:val="0"/>
        <w:bidi w:val="0"/>
        <w:spacing w:line="520" w:lineRule="exact"/>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1884D77F">
      <w:pPr>
        <w:pageBreakBefore w:val="0"/>
        <w:kinsoku/>
        <w:wordWrap/>
        <w:overflowPunct w:val="0"/>
        <w:topLinePunct w:val="0"/>
        <w:bidi w:val="0"/>
        <w:spacing w:line="520" w:lineRule="exact"/>
        <w:jc w:val="center"/>
        <w:rPr>
          <w:rFonts w:hint="eastAsia" w:ascii="仿宋" w:hAnsi="仿宋" w:eastAsia="仿宋" w:cs="仿宋"/>
          <w:b/>
          <w:bCs/>
          <w:color w:val="auto"/>
          <w:sz w:val="40"/>
          <w:szCs w:val="40"/>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53954724">
      <w:pPr>
        <w:pageBreakBefore w:val="0"/>
        <w:widowControl/>
        <w:kinsoku/>
        <w:wordWrap/>
        <w:overflowPunct w:val="0"/>
        <w:topLinePunct w:val="0"/>
        <w:bidi w:val="0"/>
        <w:spacing w:line="520" w:lineRule="exact"/>
        <w:rPr>
          <w:rFonts w:hint="eastAsia" w:ascii="仿宋" w:hAnsi="仿宋" w:eastAsia="仿宋" w:cs="仿宋"/>
          <w:bCs/>
          <w:color w:val="auto"/>
          <w:sz w:val="28"/>
          <w:szCs w:val="28"/>
          <w:highlight w:val="none"/>
          <w:lang w:bidi="ar"/>
        </w:rPr>
      </w:pPr>
    </w:p>
    <w:p w14:paraId="52B58177">
      <w:pPr>
        <w:pageBreakBefore w:val="0"/>
        <w:widowControl/>
        <w:kinsoku/>
        <w:wordWrap/>
        <w:overflowPunct w:val="0"/>
        <w:topLinePunct w:val="0"/>
        <w:bidi w:val="0"/>
        <w:spacing w:line="520" w:lineRule="exact"/>
        <w:jc w:val="left"/>
        <w:rPr>
          <w:rFonts w:hint="eastAsia" w:ascii="仿宋" w:hAnsi="仿宋" w:eastAsia="仿宋" w:cs="仿宋"/>
          <w:bCs/>
          <w:color w:val="auto"/>
          <w:sz w:val="28"/>
          <w:szCs w:val="28"/>
          <w:highlight w:val="none"/>
          <w:lang w:bidi="ar"/>
        </w:rPr>
        <w:sectPr>
          <w:pgSz w:w="11900" w:h="16840"/>
          <w:pgMar w:top="1431" w:right="1268" w:bottom="1276" w:left="1418" w:header="0" w:footer="346" w:gutter="0"/>
          <w:cols w:space="720" w:num="1"/>
        </w:sectPr>
      </w:pPr>
    </w:p>
    <w:p w14:paraId="44F3379A">
      <w:pPr>
        <w:pageBreakBefore w:val="0"/>
        <w:wordWrap/>
        <w:topLinePunct w:val="0"/>
        <w:autoSpaceDE w:val="0"/>
        <w:autoSpaceDN w:val="0"/>
        <w:bidi w:val="0"/>
        <w:adjustRightInd w:val="0"/>
        <w:spacing w:line="520" w:lineRule="exact"/>
        <w:rPr>
          <w:rFonts w:hint="eastAsia" w:ascii="仿宋" w:hAnsi="仿宋" w:eastAsia="仿宋" w:cs="仿宋"/>
          <w:color w:val="auto"/>
          <w:sz w:val="28"/>
          <w:szCs w:val="28"/>
          <w:highlight w:val="none"/>
          <w:u w:val="single"/>
        </w:rPr>
      </w:pPr>
      <w:r>
        <w:rPr>
          <w:rFonts w:hint="eastAsia" w:ascii="仿宋" w:hAnsi="仿宋" w:eastAsia="仿宋" w:cs="仿宋"/>
          <w:bCs/>
          <w:color w:val="auto"/>
          <w:sz w:val="28"/>
          <w:szCs w:val="28"/>
          <w:highlight w:val="none"/>
        </w:rPr>
        <w:t>甲方（采购人）：</w:t>
      </w:r>
      <w:r>
        <w:rPr>
          <w:rFonts w:hint="eastAsia" w:ascii="仿宋" w:hAnsi="仿宋" w:eastAsia="仿宋" w:cs="仿宋"/>
          <w:bCs/>
          <w:color w:val="auto"/>
          <w:sz w:val="28"/>
          <w:szCs w:val="28"/>
          <w:highlight w:val="none"/>
          <w:u w:val="single"/>
        </w:rPr>
        <w:t xml:space="preserve">                                    </w:t>
      </w:r>
    </w:p>
    <w:p w14:paraId="76AB11CC">
      <w:pPr>
        <w:pageBreakBefore w:val="0"/>
        <w:wordWrap/>
        <w:topLinePunct w:val="0"/>
        <w:autoSpaceDE w:val="0"/>
        <w:autoSpaceDN w:val="0"/>
        <w:bidi w:val="0"/>
        <w:adjustRightInd w:val="0"/>
        <w:spacing w:line="520" w:lineRule="exac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乙方（供应商）：</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 xml:space="preserve"> </w:t>
      </w:r>
    </w:p>
    <w:p w14:paraId="14676608">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textAlignment w:val="baseline"/>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依照《中华人民共和国民法典》等法律、行政法规，遵循平等、自愿、公平和诚实信用的原则，双方</w:t>
      </w:r>
      <w:r>
        <w:rPr>
          <w:rFonts w:hint="eastAsia" w:ascii="仿宋" w:hAnsi="仿宋" w:eastAsia="仿宋" w:cs="仿宋"/>
          <w:b w:val="0"/>
          <w:bCs w:val="0"/>
          <w:color w:val="auto"/>
          <w:sz w:val="28"/>
          <w:szCs w:val="28"/>
          <w:highlight w:val="none"/>
          <w:u w:val="single"/>
        </w:rPr>
        <w:t>西安市长安区细柳街道办事处辖区内大件垃圾及杂物清理项目</w:t>
      </w:r>
      <w:r>
        <w:rPr>
          <w:rFonts w:hint="eastAsia" w:ascii="仿宋" w:hAnsi="仿宋" w:eastAsia="仿宋" w:cs="仿宋"/>
          <w:b w:val="0"/>
          <w:bCs w:val="0"/>
          <w:color w:val="auto"/>
          <w:sz w:val="28"/>
          <w:szCs w:val="28"/>
          <w:highlight w:val="none"/>
        </w:rPr>
        <w:t>事项订立本合同:</w:t>
      </w:r>
    </w:p>
    <w:p w14:paraId="2D40EDA2">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20" w:lineRule="exact"/>
        <w:ind w:left="0" w:right="0" w:rightChars="0"/>
        <w:jc w:val="both"/>
        <w:textAlignment w:val="baseline"/>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一、项目概况</w:t>
      </w:r>
    </w:p>
    <w:p w14:paraId="6B4368DD">
      <w:pPr>
        <w:pStyle w:val="2"/>
        <w:keepNext w:val="0"/>
        <w:keepLines w:val="0"/>
        <w:pageBreakBefore w:val="0"/>
        <w:widowControl/>
        <w:numPr>
          <w:ilvl w:val="0"/>
          <w:numId w:val="0"/>
        </w:numPr>
        <w:wordWrap/>
        <w:overflowPunct/>
        <w:topLinePunct w:val="0"/>
        <w:bidi w:val="0"/>
        <w:spacing w:line="520" w:lineRule="exact"/>
        <w:ind w:left="0" w:right="0" w:rightChars="0" w:firstLine="560" w:firstLineChars="200"/>
        <w:jc w:val="both"/>
        <w:rPr>
          <w:rFonts w:hint="default" w:ascii="仿宋" w:hAnsi="仿宋" w:eastAsia="仿宋" w:cs="仿宋"/>
          <w:b w:val="0"/>
          <w:bCs w:val="0"/>
          <w:snapToGrid w:val="0"/>
          <w:color w:val="auto"/>
          <w:sz w:val="28"/>
          <w:szCs w:val="28"/>
          <w:highlight w:val="none"/>
          <w:lang w:val="en-US" w:eastAsia="zh-CN" w:bidi="ar-SA"/>
        </w:rPr>
      </w:pPr>
      <w:r>
        <w:rPr>
          <w:rFonts w:hint="default" w:ascii="仿宋" w:hAnsi="仿宋" w:eastAsia="仿宋" w:cs="仿宋"/>
          <w:b w:val="0"/>
          <w:bCs w:val="0"/>
          <w:snapToGrid w:val="0"/>
          <w:color w:val="auto"/>
          <w:sz w:val="28"/>
          <w:szCs w:val="28"/>
          <w:highlight w:val="none"/>
          <w:lang w:val="en-US" w:eastAsia="zh-CN" w:bidi="ar-SA"/>
        </w:rPr>
        <w:t>结合细柳街道实际环境卫生现状，需对锦业四路、祝秦路、东渠村、西渠村、杨柳村等出村路及村庄周边乱扔乱倒废旧杂物及大件垃圾清运，改善细柳街道人居环境。</w:t>
      </w:r>
    </w:p>
    <w:p w14:paraId="2E9D5190">
      <w:pPr>
        <w:pStyle w:val="8"/>
        <w:keepNext w:val="0"/>
        <w:keepLines w:val="0"/>
        <w:pageBreakBefore w:val="0"/>
        <w:widowControl/>
        <w:numPr>
          <w:ilvl w:val="0"/>
          <w:numId w:val="0"/>
        </w:numPr>
        <w:wordWrap/>
        <w:overflowPunct/>
        <w:topLinePunct w:val="0"/>
        <w:bidi w:val="0"/>
        <w:spacing w:line="520" w:lineRule="exact"/>
        <w:ind w:leftChars="0" w:right="0" w:rightChars="0"/>
        <w:rPr>
          <w:rFonts w:hint="eastAsia" w:ascii="仿宋" w:hAnsi="仿宋" w:eastAsia="仿宋" w:cs="仿宋"/>
          <w:b/>
          <w:bCs/>
          <w:snapToGrid w:val="0"/>
          <w:color w:val="auto"/>
          <w:sz w:val="28"/>
          <w:szCs w:val="28"/>
          <w:highlight w:val="none"/>
          <w:lang w:val="en-US" w:eastAsia="zh-CN" w:bidi="ar-SA"/>
        </w:rPr>
      </w:pPr>
      <w:r>
        <w:rPr>
          <w:rFonts w:hint="eastAsia" w:ascii="仿宋" w:hAnsi="仿宋" w:eastAsia="仿宋" w:cs="仿宋"/>
          <w:b/>
          <w:bCs/>
          <w:snapToGrid w:val="0"/>
          <w:color w:val="auto"/>
          <w:sz w:val="28"/>
          <w:szCs w:val="28"/>
          <w:highlight w:val="none"/>
          <w:lang w:val="en-US" w:eastAsia="zh-CN" w:bidi="ar-SA"/>
        </w:rPr>
        <w:t>二、服务范围</w:t>
      </w:r>
    </w:p>
    <w:p w14:paraId="130EF379">
      <w:pPr>
        <w:pStyle w:val="8"/>
        <w:keepNext w:val="0"/>
        <w:keepLines w:val="0"/>
        <w:pageBreakBefore w:val="0"/>
        <w:widowControl/>
        <w:numPr>
          <w:ilvl w:val="0"/>
          <w:numId w:val="0"/>
        </w:numPr>
        <w:wordWrap/>
        <w:overflowPunct/>
        <w:topLinePunct w:val="0"/>
        <w:bidi w:val="0"/>
        <w:spacing w:line="520" w:lineRule="exact"/>
        <w:ind w:leftChars="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辖区内废弃家具、家电等杂物及除建筑垃圾之外的无主垃圾</w:t>
      </w:r>
    </w:p>
    <w:p w14:paraId="2A7E3E1B">
      <w:pPr>
        <w:pStyle w:val="8"/>
        <w:keepNext w:val="0"/>
        <w:keepLines w:val="0"/>
        <w:pageBreakBefore w:val="0"/>
        <w:numPr>
          <w:ilvl w:val="0"/>
          <w:numId w:val="0"/>
        </w:numPr>
        <w:wordWrap/>
        <w:topLinePunct w:val="0"/>
        <w:bidi w:val="0"/>
        <w:spacing w:line="520" w:lineRule="exact"/>
        <w:ind w:left="0" w:right="0" w:rightChars="0"/>
        <w:rPr>
          <w:rFonts w:hint="eastAsia" w:ascii="仿宋" w:hAnsi="仿宋" w:eastAsia="仿宋" w:cs="仿宋"/>
          <w:b/>
          <w:bCs/>
          <w:snapToGrid w:val="0"/>
          <w:color w:val="auto"/>
          <w:sz w:val="28"/>
          <w:szCs w:val="28"/>
          <w:highlight w:val="none"/>
          <w:lang w:val="en-US" w:eastAsia="zh-CN" w:bidi="ar-SA"/>
        </w:rPr>
      </w:pPr>
      <w:r>
        <w:rPr>
          <w:rFonts w:hint="eastAsia" w:ascii="仿宋" w:hAnsi="仿宋" w:eastAsia="仿宋" w:cs="仿宋"/>
          <w:b/>
          <w:bCs/>
          <w:snapToGrid w:val="0"/>
          <w:color w:val="auto"/>
          <w:sz w:val="28"/>
          <w:szCs w:val="28"/>
          <w:highlight w:val="none"/>
          <w:lang w:val="en-US" w:eastAsia="zh-CN" w:bidi="ar-SA"/>
        </w:rPr>
        <w:t>三、服务要求</w:t>
      </w:r>
    </w:p>
    <w:p w14:paraId="604C1574">
      <w:pPr>
        <w:pStyle w:val="8"/>
        <w:keepNext w:val="0"/>
        <w:keepLines w:val="0"/>
        <w:pageBreakBefore w:val="0"/>
        <w:numPr>
          <w:ilvl w:val="0"/>
          <w:numId w:val="0"/>
        </w:numPr>
        <w:wordWrap/>
        <w:topLinePunct w:val="0"/>
        <w:bidi w:val="0"/>
        <w:spacing w:line="520" w:lineRule="exact"/>
        <w:ind w:left="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1.乙方对机械、车辆油耗、维修等自行解决。</w:t>
      </w:r>
    </w:p>
    <w:p w14:paraId="63C0E92B">
      <w:pPr>
        <w:pStyle w:val="8"/>
        <w:keepNext w:val="0"/>
        <w:keepLines w:val="0"/>
        <w:pageBreakBefore w:val="0"/>
        <w:numPr>
          <w:ilvl w:val="0"/>
          <w:numId w:val="0"/>
        </w:numPr>
        <w:wordWrap/>
        <w:topLinePunct w:val="0"/>
        <w:bidi w:val="0"/>
        <w:spacing w:line="520" w:lineRule="exact"/>
        <w:ind w:left="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2.垃圾消纳需注明垃圾去向。</w:t>
      </w:r>
    </w:p>
    <w:p w14:paraId="182A8BB8">
      <w:pPr>
        <w:pStyle w:val="8"/>
        <w:keepNext w:val="0"/>
        <w:keepLines w:val="0"/>
        <w:pageBreakBefore w:val="0"/>
        <w:numPr>
          <w:ilvl w:val="0"/>
          <w:numId w:val="0"/>
        </w:numPr>
        <w:wordWrap/>
        <w:topLinePunct w:val="0"/>
        <w:bidi w:val="0"/>
        <w:spacing w:line="520" w:lineRule="exact"/>
        <w:ind w:left="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3.保障环境卫生，整治无故障运行同时要按照相关规定规范操作，确保整治工作中作业安全。若出现不安全施工，由乙方自行解决。</w:t>
      </w:r>
    </w:p>
    <w:p w14:paraId="4C712A2A">
      <w:pPr>
        <w:pStyle w:val="8"/>
        <w:keepNext w:val="0"/>
        <w:keepLines w:val="0"/>
        <w:pageBreakBefore w:val="0"/>
        <w:numPr>
          <w:ilvl w:val="0"/>
          <w:numId w:val="0"/>
        </w:numPr>
        <w:wordWrap/>
        <w:topLinePunct w:val="0"/>
        <w:bidi w:val="0"/>
        <w:spacing w:line="520" w:lineRule="exact"/>
        <w:ind w:left="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4.甲方有权对车辆、机械等进行监督施工。</w:t>
      </w:r>
    </w:p>
    <w:p w14:paraId="226AD128">
      <w:pPr>
        <w:pStyle w:val="8"/>
        <w:keepNext w:val="0"/>
        <w:keepLines w:val="0"/>
        <w:pageBreakBefore w:val="0"/>
        <w:numPr>
          <w:ilvl w:val="0"/>
          <w:numId w:val="0"/>
        </w:numPr>
        <w:wordWrap/>
        <w:topLinePunct w:val="0"/>
        <w:bidi w:val="0"/>
        <w:spacing w:line="520" w:lineRule="exact"/>
        <w:ind w:left="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5.家电类如需回收的，不得混入生活垃圾焚烧。</w:t>
      </w:r>
    </w:p>
    <w:p w14:paraId="6CA10E01">
      <w:pPr>
        <w:pStyle w:val="8"/>
        <w:keepNext w:val="0"/>
        <w:keepLines w:val="0"/>
        <w:pageBreakBefore w:val="0"/>
        <w:numPr>
          <w:ilvl w:val="0"/>
          <w:numId w:val="0"/>
        </w:numPr>
        <w:wordWrap/>
        <w:topLinePunct w:val="0"/>
        <w:bidi w:val="0"/>
        <w:spacing w:line="520" w:lineRule="exact"/>
        <w:ind w:left="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6.每车次记录时间、地点、类型、重量/车次。</w:t>
      </w:r>
    </w:p>
    <w:p w14:paraId="3A612063">
      <w:pPr>
        <w:pStyle w:val="8"/>
        <w:keepNext w:val="0"/>
        <w:keepLines w:val="0"/>
        <w:pageBreakBefore w:val="0"/>
        <w:numPr>
          <w:ilvl w:val="0"/>
          <w:numId w:val="0"/>
        </w:numPr>
        <w:wordWrap/>
        <w:topLinePunct w:val="0"/>
        <w:bidi w:val="0"/>
        <w:spacing w:line="520" w:lineRule="exact"/>
        <w:ind w:left="0" w:right="0" w:rightChars="0"/>
        <w:rPr>
          <w:rFonts w:hint="eastAsia" w:ascii="仿宋" w:hAnsi="仿宋" w:eastAsia="仿宋" w:cs="仿宋"/>
          <w:b/>
          <w:bCs/>
          <w:snapToGrid w:val="0"/>
          <w:color w:val="auto"/>
          <w:sz w:val="28"/>
          <w:szCs w:val="28"/>
          <w:highlight w:val="none"/>
          <w:lang w:val="en-US" w:eastAsia="zh-CN" w:bidi="ar-SA"/>
        </w:rPr>
      </w:pPr>
      <w:r>
        <w:rPr>
          <w:rFonts w:hint="eastAsia" w:ascii="仿宋" w:hAnsi="仿宋" w:eastAsia="仿宋" w:cs="仿宋"/>
          <w:b/>
          <w:bCs/>
          <w:snapToGrid w:val="0"/>
          <w:color w:val="auto"/>
          <w:sz w:val="28"/>
          <w:szCs w:val="28"/>
          <w:highlight w:val="none"/>
          <w:lang w:val="en-US" w:eastAsia="zh-CN" w:bidi="ar-SA"/>
        </w:rPr>
        <w:t>四、技术要求</w:t>
      </w:r>
    </w:p>
    <w:p w14:paraId="46A0F25A">
      <w:pPr>
        <w:pStyle w:val="8"/>
        <w:keepNext w:val="0"/>
        <w:keepLines w:val="0"/>
        <w:pageBreakBefore w:val="0"/>
        <w:numPr>
          <w:ilvl w:val="0"/>
          <w:numId w:val="0"/>
        </w:numPr>
        <w:wordWrap/>
        <w:topLinePunct w:val="0"/>
        <w:bidi w:val="0"/>
        <w:spacing w:line="520" w:lineRule="exact"/>
        <w:ind w:left="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须符合《大件垃圾收集和利用技术要求》(GB/T25175-2010)及国家环保等相关要求。</w:t>
      </w:r>
    </w:p>
    <w:p w14:paraId="6A544DD1">
      <w:pPr>
        <w:keepNext w:val="0"/>
        <w:keepLines w:val="0"/>
        <w:pageBreakBefore w:val="0"/>
        <w:wordWrap/>
        <w:topLinePunct w:val="0"/>
        <w:bidi w:val="0"/>
        <w:spacing w:line="520" w:lineRule="exact"/>
        <w:ind w:left="0" w:right="0" w:rightChars="0"/>
        <w:rPr>
          <w:rFonts w:hint="default"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bCs/>
          <w:snapToGrid w:val="0"/>
          <w:color w:val="auto"/>
          <w:sz w:val="28"/>
          <w:szCs w:val="28"/>
          <w:highlight w:val="none"/>
          <w:lang w:val="en-US" w:eastAsia="zh-CN" w:bidi="ar-SA"/>
        </w:rPr>
        <w:t>五、服务期限：</w:t>
      </w:r>
      <w:r>
        <w:rPr>
          <w:rFonts w:hint="eastAsia" w:ascii="仿宋" w:hAnsi="仿宋" w:eastAsia="仿宋" w:cs="仿宋"/>
          <w:b w:val="0"/>
          <w:bCs w:val="0"/>
          <w:snapToGrid w:val="0"/>
          <w:color w:val="auto"/>
          <w:sz w:val="28"/>
          <w:szCs w:val="28"/>
          <w:highlight w:val="none"/>
          <w:lang w:val="en-US" w:eastAsia="zh-CN" w:bidi="ar-SA"/>
        </w:rPr>
        <w:t>一年 。自</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年</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月</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日至</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年</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月</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日</w:t>
      </w:r>
    </w:p>
    <w:p w14:paraId="4D2FBDCC">
      <w:pPr>
        <w:keepNext w:val="0"/>
        <w:keepLines w:val="0"/>
        <w:pageBreakBefore w:val="0"/>
        <w:widowControl w:val="0"/>
        <w:kinsoku/>
        <w:wordWrap/>
        <w:overflowPunct w:val="0"/>
        <w:topLinePunct w:val="0"/>
        <w:autoSpaceDE w:val="0"/>
        <w:autoSpaceDN w:val="0"/>
        <w:bidi w:val="0"/>
        <w:adjustRightInd w:val="0"/>
        <w:snapToGrid/>
        <w:spacing w:line="520" w:lineRule="exact"/>
        <w:ind w:right="0" w:rightChars="0"/>
        <w:jc w:val="both"/>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六、合同价款</w:t>
      </w:r>
    </w:p>
    <w:p w14:paraId="11B216DB">
      <w:pPr>
        <w:keepNext w:val="0"/>
        <w:keepLines w:val="0"/>
        <w:pageBreakBefore w:val="0"/>
        <w:widowControl w:val="0"/>
        <w:kinsoku/>
        <w:wordWrap/>
        <w:overflowPunct w:val="0"/>
        <w:topLinePunct w:val="0"/>
        <w:autoSpaceDE w:val="0"/>
        <w:autoSpaceDN w:val="0"/>
        <w:bidi w:val="0"/>
        <w:adjustRightInd w:val="0"/>
        <w:snapToGrid/>
        <w:spacing w:line="520" w:lineRule="exact"/>
        <w:ind w:right="0" w:rightChars="0" w:firstLine="560" w:firstLineChars="200"/>
        <w:jc w:val="both"/>
        <w:textAlignment w:val="auto"/>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暂定总价</w:t>
      </w:r>
      <w:r>
        <w:rPr>
          <w:rFonts w:hint="eastAsia" w:ascii="仿宋" w:hAnsi="仿宋" w:eastAsia="仿宋" w:cs="仿宋"/>
          <w:color w:val="auto"/>
          <w:sz w:val="28"/>
          <w:szCs w:val="28"/>
          <w:highlight w:val="none"/>
        </w:rPr>
        <w:t>金额</w:t>
      </w:r>
      <w:r>
        <w:rPr>
          <w:rFonts w:hint="eastAsia" w:ascii="仿宋" w:hAnsi="仿宋" w:eastAsia="仿宋" w:cs="仿宋"/>
          <w:bCs/>
          <w:color w:val="auto"/>
          <w:sz w:val="28"/>
          <w:szCs w:val="28"/>
          <w:highlight w:val="none"/>
        </w:rPr>
        <w:t>为人民币（大写）</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小写）</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u w:val="single"/>
          <w:lang w:val="en-US" w:eastAsia="zh-CN"/>
        </w:rPr>
        <w:t>元</w:t>
      </w:r>
      <w:r>
        <w:rPr>
          <w:rFonts w:hint="eastAsia" w:ascii="仿宋" w:hAnsi="仿宋" w:eastAsia="仿宋" w:cs="仿宋"/>
          <w:bCs/>
          <w:color w:val="auto"/>
          <w:sz w:val="28"/>
          <w:szCs w:val="28"/>
          <w:highlight w:val="none"/>
        </w:rPr>
        <w:t>。</w:t>
      </w:r>
    </w:p>
    <w:tbl>
      <w:tblPr>
        <w:tblStyle w:val="6"/>
        <w:tblpPr w:leftFromText="180" w:rightFromText="180" w:vertAnchor="text" w:horzAnchor="page" w:tblpXSpec="center" w:tblpY="352"/>
        <w:tblOverlap w:val="never"/>
        <w:tblW w:w="51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3193"/>
        <w:gridCol w:w="1532"/>
        <w:gridCol w:w="2174"/>
        <w:gridCol w:w="1244"/>
        <w:gridCol w:w="649"/>
      </w:tblGrid>
      <w:tr w14:paraId="2D63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14:paraId="76F8AFBC">
            <w:pPr>
              <w:pStyle w:val="9"/>
              <w:pageBreakBefore w:val="0"/>
              <w:wordWrap/>
              <w:topLinePunct w:val="0"/>
              <w:bidi w:val="0"/>
              <w:spacing w:line="520" w:lineRule="exact"/>
              <w:rPr>
                <w:rFonts w:ascii="仿宋" w:hAnsi="仿宋" w:eastAsia="仿宋" w:cs="仿宋"/>
                <w:b w:val="0"/>
                <w:color w:val="auto"/>
                <w:kern w:val="2"/>
                <w:sz w:val="28"/>
                <w:szCs w:val="28"/>
                <w:lang w:val="zh-CN"/>
              </w:rPr>
            </w:pPr>
            <w:r>
              <w:rPr>
                <w:rFonts w:hint="eastAsia" w:ascii="仿宋" w:hAnsi="仿宋" w:eastAsia="仿宋" w:cs="仿宋"/>
                <w:b w:val="0"/>
                <w:color w:val="auto"/>
                <w:kern w:val="2"/>
                <w:sz w:val="28"/>
                <w:szCs w:val="28"/>
                <w:lang w:val="zh-CN"/>
              </w:rPr>
              <w:t>序号</w:t>
            </w:r>
          </w:p>
        </w:tc>
        <w:tc>
          <w:tcPr>
            <w:tcW w:w="1657" w:type="pct"/>
            <w:tcBorders>
              <w:top w:val="single" w:color="auto" w:sz="4" w:space="0"/>
              <w:left w:val="single" w:color="auto" w:sz="4" w:space="0"/>
              <w:bottom w:val="single" w:color="auto" w:sz="4" w:space="0"/>
              <w:right w:val="single" w:color="auto" w:sz="4" w:space="0"/>
            </w:tcBorders>
            <w:vAlign w:val="center"/>
          </w:tcPr>
          <w:p w14:paraId="373957AD">
            <w:pPr>
              <w:pStyle w:val="9"/>
              <w:pageBreakBefore w:val="0"/>
              <w:wordWrap/>
              <w:topLinePunct w:val="0"/>
              <w:bidi w:val="0"/>
              <w:spacing w:line="520" w:lineRule="exact"/>
              <w:rPr>
                <w:rFonts w:hint="default" w:ascii="仿宋" w:hAnsi="仿宋" w:eastAsia="仿宋" w:cs="仿宋"/>
                <w:b w:val="0"/>
                <w:color w:val="auto"/>
                <w:sz w:val="28"/>
                <w:szCs w:val="28"/>
                <w:lang w:val="en-US" w:eastAsia="zh-CN"/>
              </w:rPr>
            </w:pPr>
            <w:r>
              <w:rPr>
                <w:rFonts w:hint="eastAsia" w:ascii="仿宋" w:hAnsi="仿宋" w:eastAsia="仿宋" w:cs="仿宋"/>
                <w:b w:val="0"/>
                <w:color w:val="auto"/>
                <w:kern w:val="2"/>
                <w:sz w:val="28"/>
                <w:szCs w:val="28"/>
                <w:lang w:val="en-US" w:eastAsia="zh-CN"/>
              </w:rPr>
              <w:t>清单项目</w:t>
            </w:r>
          </w:p>
        </w:tc>
        <w:tc>
          <w:tcPr>
            <w:tcW w:w="795" w:type="pct"/>
            <w:tcBorders>
              <w:top w:val="single" w:color="auto" w:sz="4" w:space="0"/>
              <w:left w:val="single" w:color="auto" w:sz="4" w:space="0"/>
              <w:bottom w:val="single" w:color="auto" w:sz="4" w:space="0"/>
              <w:right w:val="single" w:color="auto" w:sz="4" w:space="0"/>
            </w:tcBorders>
            <w:vAlign w:val="center"/>
          </w:tcPr>
          <w:p w14:paraId="39DE6B1C">
            <w:pPr>
              <w:pStyle w:val="9"/>
              <w:pageBreakBefore w:val="0"/>
              <w:wordWrap/>
              <w:topLinePunct w:val="0"/>
              <w:bidi w:val="0"/>
              <w:spacing w:line="520" w:lineRule="exact"/>
              <w:rPr>
                <w:rFonts w:hint="default" w:ascii="仿宋" w:hAnsi="仿宋" w:eastAsia="仿宋" w:cs="仿宋"/>
                <w:b w:val="0"/>
                <w:color w:val="auto"/>
                <w:sz w:val="28"/>
                <w:szCs w:val="28"/>
                <w:lang w:val="en-US" w:eastAsia="zh-CN"/>
              </w:rPr>
            </w:pPr>
            <w:r>
              <w:rPr>
                <w:rFonts w:hint="eastAsia" w:ascii="仿宋" w:hAnsi="仿宋" w:eastAsia="仿宋" w:cs="仿宋"/>
                <w:b w:val="0"/>
                <w:color w:val="auto"/>
                <w:sz w:val="28"/>
                <w:szCs w:val="28"/>
                <w:lang w:val="en-US" w:eastAsia="zh-CN"/>
              </w:rPr>
              <w:t>工作量</w:t>
            </w:r>
          </w:p>
        </w:tc>
        <w:tc>
          <w:tcPr>
            <w:tcW w:w="1128" w:type="pct"/>
            <w:tcBorders>
              <w:top w:val="single" w:color="auto" w:sz="4" w:space="0"/>
              <w:left w:val="single" w:color="auto" w:sz="4" w:space="0"/>
              <w:bottom w:val="single" w:color="auto" w:sz="4" w:space="0"/>
              <w:right w:val="single" w:color="auto" w:sz="4" w:space="0"/>
            </w:tcBorders>
            <w:vAlign w:val="center"/>
          </w:tcPr>
          <w:p w14:paraId="55D93ECB">
            <w:pPr>
              <w:pStyle w:val="9"/>
              <w:pageBreakBefore w:val="0"/>
              <w:wordWrap/>
              <w:topLinePunct w:val="0"/>
              <w:bidi w:val="0"/>
              <w:spacing w:line="520" w:lineRule="exact"/>
              <w:rPr>
                <w:rFonts w:hint="eastAsia" w:ascii="仿宋" w:hAnsi="仿宋" w:eastAsia="仿宋" w:cs="仿宋"/>
                <w:b w:val="0"/>
                <w:color w:val="auto"/>
                <w:sz w:val="28"/>
                <w:szCs w:val="28"/>
                <w:lang w:val="en-US" w:eastAsia="zh-CN"/>
              </w:rPr>
            </w:pPr>
            <w:r>
              <w:rPr>
                <w:rFonts w:hint="eastAsia" w:ascii="仿宋" w:hAnsi="仿宋" w:eastAsia="仿宋" w:cs="仿宋"/>
                <w:b w:val="0"/>
                <w:color w:val="auto"/>
                <w:sz w:val="28"/>
                <w:szCs w:val="28"/>
                <w:lang w:val="en-US" w:eastAsia="zh-CN"/>
              </w:rPr>
              <w:t>单价</w:t>
            </w:r>
          </w:p>
        </w:tc>
        <w:tc>
          <w:tcPr>
            <w:tcW w:w="645" w:type="pct"/>
            <w:tcBorders>
              <w:top w:val="single" w:color="auto" w:sz="4" w:space="0"/>
              <w:left w:val="single" w:color="auto" w:sz="4" w:space="0"/>
              <w:bottom w:val="single" w:color="auto" w:sz="4" w:space="0"/>
              <w:right w:val="single" w:color="auto" w:sz="4" w:space="0"/>
            </w:tcBorders>
            <w:vAlign w:val="center"/>
          </w:tcPr>
          <w:p w14:paraId="2334DADC">
            <w:pPr>
              <w:pStyle w:val="9"/>
              <w:pageBreakBefore w:val="0"/>
              <w:wordWrap/>
              <w:topLinePunct w:val="0"/>
              <w:bidi w:val="0"/>
              <w:spacing w:line="520" w:lineRule="exact"/>
              <w:rPr>
                <w:rFonts w:hint="eastAsia" w:ascii="仿宋" w:hAnsi="仿宋" w:eastAsia="仿宋" w:cs="仿宋"/>
                <w:b w:val="0"/>
                <w:color w:val="auto"/>
                <w:sz w:val="28"/>
                <w:szCs w:val="28"/>
                <w:lang w:val="en-US" w:eastAsia="zh-CN"/>
              </w:rPr>
            </w:pPr>
            <w:r>
              <w:rPr>
                <w:rFonts w:hint="eastAsia" w:ascii="仿宋" w:hAnsi="仿宋" w:eastAsia="仿宋" w:cs="仿宋"/>
                <w:b w:val="0"/>
                <w:color w:val="auto"/>
                <w:sz w:val="28"/>
                <w:szCs w:val="28"/>
                <w:lang w:val="en-US" w:eastAsia="zh-CN"/>
              </w:rPr>
              <w:t>小计</w:t>
            </w:r>
          </w:p>
          <w:p w14:paraId="45F67E9F">
            <w:pPr>
              <w:pStyle w:val="9"/>
              <w:pageBreakBefore w:val="0"/>
              <w:wordWrap/>
              <w:topLinePunct w:val="0"/>
              <w:bidi w:val="0"/>
              <w:spacing w:line="520" w:lineRule="exact"/>
              <w:rPr>
                <w:rFonts w:hint="eastAsia" w:ascii="仿宋" w:hAnsi="仿宋" w:eastAsia="仿宋" w:cs="仿宋"/>
                <w:b w:val="0"/>
                <w:color w:val="auto"/>
                <w:sz w:val="28"/>
                <w:szCs w:val="28"/>
                <w:lang w:val="en-US" w:eastAsia="zh-CN"/>
              </w:rPr>
            </w:pPr>
            <w:r>
              <w:rPr>
                <w:rFonts w:hint="eastAsia" w:ascii="仿宋" w:hAnsi="仿宋" w:eastAsia="仿宋" w:cs="仿宋"/>
                <w:b w:val="0"/>
                <w:color w:val="auto"/>
                <w:sz w:val="28"/>
                <w:szCs w:val="28"/>
                <w:lang w:val="en-US" w:eastAsia="zh-CN"/>
              </w:rPr>
              <w:t>（元）</w:t>
            </w:r>
          </w:p>
        </w:tc>
        <w:tc>
          <w:tcPr>
            <w:tcW w:w="336" w:type="pct"/>
            <w:tcBorders>
              <w:top w:val="single" w:color="auto" w:sz="4" w:space="0"/>
              <w:left w:val="single" w:color="auto" w:sz="4" w:space="0"/>
              <w:bottom w:val="single" w:color="auto" w:sz="4" w:space="0"/>
              <w:right w:val="single" w:color="auto" w:sz="4" w:space="0"/>
            </w:tcBorders>
            <w:vAlign w:val="center"/>
          </w:tcPr>
          <w:p w14:paraId="4E9D2CD4">
            <w:pPr>
              <w:pStyle w:val="9"/>
              <w:pageBreakBefore w:val="0"/>
              <w:wordWrap/>
              <w:topLinePunct w:val="0"/>
              <w:bidi w:val="0"/>
              <w:spacing w:line="520" w:lineRule="exact"/>
              <w:rPr>
                <w:rFonts w:hint="eastAsia" w:ascii="仿宋" w:hAnsi="仿宋" w:eastAsia="仿宋" w:cs="仿宋"/>
                <w:b w:val="0"/>
                <w:color w:val="auto"/>
                <w:sz w:val="28"/>
                <w:szCs w:val="28"/>
                <w:lang w:val="zh-CN" w:eastAsia="zh-CN"/>
              </w:rPr>
            </w:pPr>
            <w:r>
              <w:rPr>
                <w:rFonts w:hint="eastAsia" w:ascii="仿宋" w:hAnsi="仿宋" w:eastAsia="仿宋" w:cs="仿宋"/>
                <w:b w:val="0"/>
                <w:color w:val="auto"/>
                <w:sz w:val="28"/>
                <w:szCs w:val="28"/>
                <w:lang w:val="zh-CN" w:eastAsia="zh-CN"/>
              </w:rPr>
              <w:t>备注</w:t>
            </w:r>
          </w:p>
        </w:tc>
      </w:tr>
      <w:tr w14:paraId="1479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14:paraId="092DDE46">
            <w:pPr>
              <w:pStyle w:val="9"/>
              <w:pageBreakBefore w:val="0"/>
              <w:wordWrap/>
              <w:topLinePunct w:val="0"/>
              <w:bidi w:val="0"/>
              <w:spacing w:line="520" w:lineRule="exact"/>
              <w:rPr>
                <w:rFonts w:ascii="仿宋" w:hAnsi="仿宋" w:eastAsia="仿宋" w:cs="仿宋"/>
                <w:b w:val="0"/>
                <w:color w:val="auto"/>
                <w:kern w:val="2"/>
                <w:sz w:val="28"/>
                <w:szCs w:val="28"/>
              </w:rPr>
            </w:pPr>
            <w:r>
              <w:rPr>
                <w:rFonts w:hint="eastAsia" w:ascii="仿宋" w:hAnsi="仿宋" w:eastAsia="仿宋" w:cs="仿宋"/>
                <w:b w:val="0"/>
                <w:color w:val="auto"/>
                <w:kern w:val="2"/>
                <w:sz w:val="28"/>
                <w:szCs w:val="28"/>
              </w:rPr>
              <w:t>1</w:t>
            </w:r>
          </w:p>
        </w:tc>
        <w:tc>
          <w:tcPr>
            <w:tcW w:w="1657" w:type="pct"/>
            <w:tcBorders>
              <w:top w:val="single" w:color="auto" w:sz="4" w:space="0"/>
              <w:left w:val="single" w:color="auto" w:sz="4" w:space="0"/>
              <w:bottom w:val="single" w:color="auto" w:sz="4" w:space="0"/>
              <w:right w:val="single" w:color="auto" w:sz="4" w:space="0"/>
            </w:tcBorders>
            <w:vAlign w:val="center"/>
          </w:tcPr>
          <w:p w14:paraId="10105A97">
            <w:pPr>
              <w:pStyle w:val="8"/>
              <w:pageBreakBefore w:val="0"/>
              <w:numPr>
                <w:ilvl w:val="0"/>
                <w:numId w:val="0"/>
              </w:numPr>
              <w:wordWrap/>
              <w:topLinePunct w:val="0"/>
              <w:bidi w:val="0"/>
              <w:spacing w:line="520" w:lineRule="exact"/>
              <w:ind w:left="0" w:leftChars="0" w:firstLine="0" w:firstLineChars="0"/>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人工（一年）</w:t>
            </w:r>
          </w:p>
        </w:tc>
        <w:tc>
          <w:tcPr>
            <w:tcW w:w="795" w:type="pct"/>
            <w:tcBorders>
              <w:top w:val="single" w:color="auto" w:sz="4" w:space="0"/>
              <w:left w:val="single" w:color="auto" w:sz="4" w:space="0"/>
              <w:bottom w:val="single" w:color="auto" w:sz="4" w:space="0"/>
              <w:right w:val="single" w:color="auto" w:sz="4" w:space="0"/>
            </w:tcBorders>
            <w:vAlign w:val="center"/>
          </w:tcPr>
          <w:p w14:paraId="0CFFE88B">
            <w:pPr>
              <w:pStyle w:val="8"/>
              <w:pageBreakBefore w:val="0"/>
              <w:numPr>
                <w:ilvl w:val="0"/>
                <w:numId w:val="0"/>
              </w:numPr>
              <w:wordWrap/>
              <w:topLinePunct w:val="0"/>
              <w:bidi w:val="0"/>
              <w:spacing w:line="520" w:lineRule="exact"/>
              <w:ind w:left="0" w:leftChars="0" w:firstLine="0" w:firstLineChars="0"/>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125人次</w:t>
            </w:r>
          </w:p>
        </w:tc>
        <w:tc>
          <w:tcPr>
            <w:tcW w:w="1128" w:type="pct"/>
            <w:tcBorders>
              <w:top w:val="single" w:color="auto" w:sz="4" w:space="0"/>
              <w:left w:val="single" w:color="auto" w:sz="4" w:space="0"/>
              <w:bottom w:val="single" w:color="auto" w:sz="4" w:space="0"/>
              <w:right w:val="single" w:color="auto" w:sz="4" w:space="0"/>
            </w:tcBorders>
            <w:vAlign w:val="center"/>
          </w:tcPr>
          <w:p w14:paraId="60E12AC3">
            <w:pPr>
              <w:pStyle w:val="8"/>
              <w:pageBreakBefore w:val="0"/>
              <w:numPr>
                <w:ilvl w:val="0"/>
                <w:numId w:val="0"/>
              </w:numPr>
              <w:wordWrap/>
              <w:topLinePunct w:val="0"/>
              <w:bidi w:val="0"/>
              <w:spacing w:line="520" w:lineRule="exact"/>
              <w:ind w:left="0" w:leftChars="0" w:firstLine="0" w:firstLineChars="0"/>
              <w:jc w:val="center"/>
              <w:rPr>
                <w:rFonts w:ascii="仿宋" w:hAnsi="仿宋" w:eastAsia="仿宋" w:cs="仿宋"/>
                <w:b w:val="0"/>
                <w:color w:val="auto"/>
                <w:kern w:val="2"/>
                <w:sz w:val="28"/>
                <w:szCs w:val="28"/>
                <w:u w:val="single"/>
              </w:rPr>
            </w:pP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元/人/天</w:t>
            </w:r>
          </w:p>
        </w:tc>
        <w:tc>
          <w:tcPr>
            <w:tcW w:w="645" w:type="pct"/>
            <w:tcBorders>
              <w:top w:val="single" w:color="auto" w:sz="4" w:space="0"/>
              <w:left w:val="single" w:color="auto" w:sz="4" w:space="0"/>
              <w:bottom w:val="single" w:color="auto" w:sz="4" w:space="0"/>
              <w:right w:val="single" w:color="auto" w:sz="4" w:space="0"/>
            </w:tcBorders>
            <w:vAlign w:val="center"/>
          </w:tcPr>
          <w:p w14:paraId="0436DE7D">
            <w:pPr>
              <w:pStyle w:val="9"/>
              <w:pageBreakBefore w:val="0"/>
              <w:wordWrap/>
              <w:topLinePunct w:val="0"/>
              <w:bidi w:val="0"/>
              <w:spacing w:line="520" w:lineRule="exact"/>
              <w:rPr>
                <w:rFonts w:ascii="仿宋" w:hAnsi="仿宋" w:eastAsia="仿宋" w:cs="仿宋"/>
                <w:b w:val="0"/>
                <w:color w:val="auto"/>
                <w:kern w:val="2"/>
                <w:sz w:val="28"/>
                <w:szCs w:val="28"/>
                <w:u w:val="single"/>
              </w:rPr>
            </w:pPr>
          </w:p>
        </w:tc>
        <w:tc>
          <w:tcPr>
            <w:tcW w:w="336" w:type="pct"/>
            <w:tcBorders>
              <w:top w:val="single" w:color="auto" w:sz="4" w:space="0"/>
              <w:left w:val="single" w:color="auto" w:sz="4" w:space="0"/>
              <w:bottom w:val="single" w:color="auto" w:sz="4" w:space="0"/>
              <w:right w:val="single" w:color="auto" w:sz="4" w:space="0"/>
            </w:tcBorders>
            <w:vAlign w:val="center"/>
          </w:tcPr>
          <w:p w14:paraId="6AC2A282">
            <w:pPr>
              <w:pStyle w:val="9"/>
              <w:pageBreakBefore w:val="0"/>
              <w:wordWrap/>
              <w:topLinePunct w:val="0"/>
              <w:bidi w:val="0"/>
              <w:spacing w:line="520" w:lineRule="exact"/>
              <w:rPr>
                <w:rFonts w:ascii="仿宋" w:hAnsi="仿宋" w:eastAsia="仿宋" w:cs="仿宋"/>
                <w:b w:val="0"/>
                <w:color w:val="auto"/>
                <w:kern w:val="2"/>
                <w:sz w:val="28"/>
                <w:szCs w:val="28"/>
                <w:lang w:val="zh-CN"/>
              </w:rPr>
            </w:pPr>
          </w:p>
        </w:tc>
      </w:tr>
      <w:tr w14:paraId="148D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14:paraId="184DFD91">
            <w:pPr>
              <w:pStyle w:val="9"/>
              <w:pageBreakBefore w:val="0"/>
              <w:wordWrap/>
              <w:topLinePunct w:val="0"/>
              <w:bidi w:val="0"/>
              <w:spacing w:line="520" w:lineRule="exact"/>
              <w:rPr>
                <w:rFonts w:ascii="仿宋" w:hAnsi="仿宋" w:eastAsia="仿宋" w:cs="仿宋"/>
                <w:b w:val="0"/>
                <w:color w:val="auto"/>
                <w:kern w:val="2"/>
                <w:sz w:val="28"/>
                <w:szCs w:val="28"/>
              </w:rPr>
            </w:pPr>
            <w:r>
              <w:rPr>
                <w:rFonts w:hint="eastAsia" w:ascii="仿宋" w:hAnsi="仿宋" w:eastAsia="仿宋" w:cs="仿宋"/>
                <w:b w:val="0"/>
                <w:color w:val="auto"/>
                <w:kern w:val="2"/>
                <w:sz w:val="28"/>
                <w:szCs w:val="28"/>
              </w:rPr>
              <w:t>2</w:t>
            </w:r>
          </w:p>
        </w:tc>
        <w:tc>
          <w:tcPr>
            <w:tcW w:w="1657" w:type="pct"/>
            <w:tcBorders>
              <w:top w:val="single" w:color="auto" w:sz="4" w:space="0"/>
              <w:left w:val="single" w:color="auto" w:sz="4" w:space="0"/>
              <w:bottom w:val="single" w:color="auto" w:sz="4" w:space="0"/>
              <w:right w:val="single" w:color="auto" w:sz="4" w:space="0"/>
            </w:tcBorders>
            <w:vAlign w:val="center"/>
          </w:tcPr>
          <w:p w14:paraId="0EA73B4E">
            <w:pPr>
              <w:pStyle w:val="8"/>
              <w:pageBreakBefore w:val="0"/>
              <w:numPr>
                <w:ilvl w:val="0"/>
                <w:numId w:val="0"/>
              </w:numPr>
              <w:wordWrap/>
              <w:topLinePunct w:val="0"/>
              <w:bidi w:val="0"/>
              <w:spacing w:line="520" w:lineRule="exact"/>
              <w:ind w:left="0" w:leftChars="0" w:firstLine="0" w:firstLineChars="0"/>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清运车次（容量8方）</w:t>
            </w:r>
          </w:p>
        </w:tc>
        <w:tc>
          <w:tcPr>
            <w:tcW w:w="795" w:type="pct"/>
            <w:tcBorders>
              <w:top w:val="single" w:color="auto" w:sz="4" w:space="0"/>
              <w:left w:val="single" w:color="auto" w:sz="4" w:space="0"/>
              <w:bottom w:val="single" w:color="auto" w:sz="4" w:space="0"/>
              <w:right w:val="single" w:color="auto" w:sz="4" w:space="0"/>
            </w:tcBorders>
            <w:vAlign w:val="center"/>
          </w:tcPr>
          <w:p w14:paraId="5BE82C78">
            <w:pPr>
              <w:pStyle w:val="8"/>
              <w:pageBreakBefore w:val="0"/>
              <w:numPr>
                <w:ilvl w:val="0"/>
                <w:numId w:val="0"/>
              </w:numPr>
              <w:wordWrap/>
              <w:topLinePunct w:val="0"/>
              <w:bidi w:val="0"/>
              <w:spacing w:line="520" w:lineRule="exact"/>
              <w:ind w:left="0" w:leftChars="0" w:firstLine="0" w:firstLineChars="0"/>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550车次</w:t>
            </w:r>
          </w:p>
        </w:tc>
        <w:tc>
          <w:tcPr>
            <w:tcW w:w="1128" w:type="pct"/>
            <w:tcBorders>
              <w:top w:val="single" w:color="auto" w:sz="4" w:space="0"/>
              <w:left w:val="single" w:color="auto" w:sz="4" w:space="0"/>
              <w:bottom w:val="single" w:color="auto" w:sz="4" w:space="0"/>
              <w:right w:val="single" w:color="auto" w:sz="4" w:space="0"/>
            </w:tcBorders>
            <w:vAlign w:val="center"/>
          </w:tcPr>
          <w:p w14:paraId="3C313084">
            <w:pPr>
              <w:pStyle w:val="8"/>
              <w:pageBreakBefore w:val="0"/>
              <w:numPr>
                <w:ilvl w:val="0"/>
                <w:numId w:val="0"/>
              </w:numPr>
              <w:wordWrap/>
              <w:topLinePunct w:val="0"/>
              <w:bidi w:val="0"/>
              <w:spacing w:line="520" w:lineRule="exact"/>
              <w:ind w:left="0" w:leftChars="0" w:firstLine="0" w:firstLineChars="0"/>
              <w:jc w:val="center"/>
              <w:rPr>
                <w:rFonts w:ascii="仿宋" w:hAnsi="仿宋" w:eastAsia="仿宋" w:cs="仿宋"/>
                <w:b w:val="0"/>
                <w:color w:val="auto"/>
                <w:kern w:val="2"/>
                <w:sz w:val="28"/>
                <w:szCs w:val="28"/>
                <w:u w:val="single"/>
              </w:rPr>
            </w:pPr>
            <w:r>
              <w:rPr>
                <w:rFonts w:hint="eastAsia" w:ascii="仿宋_GB2312" w:hAnsi="仿宋_GB2312" w:eastAsia="仿宋_GB2312" w:cs="仿宋_GB2312"/>
                <w:color w:val="auto"/>
                <w:sz w:val="28"/>
                <w:szCs w:val="28"/>
                <w:u w:val="single"/>
                <w:lang w:val="en-US" w:eastAsia="zh-CN"/>
              </w:rPr>
              <w:t xml:space="preserve">     </w:t>
            </w:r>
            <w:r>
              <w:rPr>
                <w:rFonts w:hint="default" w:ascii="仿宋_GB2312" w:hAnsi="仿宋_GB2312" w:eastAsia="仿宋_GB2312" w:cs="仿宋_GB2312"/>
                <w:color w:val="auto"/>
                <w:sz w:val="28"/>
                <w:szCs w:val="28"/>
                <w:lang w:val="en-US" w:eastAsia="zh-CN"/>
              </w:rPr>
              <w:t>元/车次</w:t>
            </w:r>
          </w:p>
        </w:tc>
        <w:tc>
          <w:tcPr>
            <w:tcW w:w="645" w:type="pct"/>
            <w:tcBorders>
              <w:top w:val="single" w:color="auto" w:sz="4" w:space="0"/>
              <w:left w:val="single" w:color="auto" w:sz="4" w:space="0"/>
              <w:bottom w:val="single" w:color="auto" w:sz="4" w:space="0"/>
              <w:right w:val="single" w:color="auto" w:sz="4" w:space="0"/>
            </w:tcBorders>
            <w:vAlign w:val="center"/>
          </w:tcPr>
          <w:p w14:paraId="02897649">
            <w:pPr>
              <w:pStyle w:val="9"/>
              <w:pageBreakBefore w:val="0"/>
              <w:wordWrap/>
              <w:topLinePunct w:val="0"/>
              <w:bidi w:val="0"/>
              <w:spacing w:line="520" w:lineRule="exact"/>
              <w:rPr>
                <w:rFonts w:ascii="仿宋" w:hAnsi="仿宋" w:eastAsia="仿宋" w:cs="仿宋"/>
                <w:b w:val="0"/>
                <w:color w:val="auto"/>
                <w:kern w:val="2"/>
                <w:sz w:val="28"/>
                <w:szCs w:val="28"/>
                <w:u w:val="single"/>
              </w:rPr>
            </w:pPr>
          </w:p>
        </w:tc>
        <w:tc>
          <w:tcPr>
            <w:tcW w:w="336" w:type="pct"/>
            <w:tcBorders>
              <w:top w:val="single" w:color="auto" w:sz="4" w:space="0"/>
              <w:left w:val="single" w:color="auto" w:sz="4" w:space="0"/>
              <w:bottom w:val="single" w:color="auto" w:sz="4" w:space="0"/>
              <w:right w:val="single" w:color="auto" w:sz="4" w:space="0"/>
            </w:tcBorders>
            <w:vAlign w:val="center"/>
          </w:tcPr>
          <w:p w14:paraId="56CE9A7C">
            <w:pPr>
              <w:pStyle w:val="9"/>
              <w:pageBreakBefore w:val="0"/>
              <w:wordWrap/>
              <w:topLinePunct w:val="0"/>
              <w:bidi w:val="0"/>
              <w:spacing w:line="520" w:lineRule="exact"/>
              <w:rPr>
                <w:rFonts w:ascii="仿宋" w:hAnsi="仿宋" w:eastAsia="仿宋" w:cs="仿宋"/>
                <w:b w:val="0"/>
                <w:color w:val="auto"/>
                <w:kern w:val="2"/>
                <w:sz w:val="28"/>
                <w:szCs w:val="28"/>
                <w:lang w:val="zh-CN"/>
              </w:rPr>
            </w:pPr>
          </w:p>
        </w:tc>
      </w:tr>
      <w:tr w14:paraId="3640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14:paraId="5B85D4EE">
            <w:pPr>
              <w:pStyle w:val="9"/>
              <w:pageBreakBefore w:val="0"/>
              <w:wordWrap/>
              <w:topLinePunct w:val="0"/>
              <w:bidi w:val="0"/>
              <w:spacing w:line="520" w:lineRule="exact"/>
              <w:rPr>
                <w:rFonts w:hint="eastAsia" w:ascii="仿宋" w:hAnsi="仿宋" w:eastAsia="仿宋" w:cs="仿宋"/>
                <w:b w:val="0"/>
                <w:color w:val="auto"/>
                <w:kern w:val="2"/>
                <w:sz w:val="28"/>
                <w:szCs w:val="28"/>
                <w:lang w:eastAsia="zh-CN"/>
              </w:rPr>
            </w:pPr>
            <w:r>
              <w:rPr>
                <w:rFonts w:hint="eastAsia" w:ascii="仿宋" w:hAnsi="仿宋" w:eastAsia="仿宋" w:cs="仿宋"/>
                <w:b w:val="0"/>
                <w:color w:val="auto"/>
                <w:kern w:val="2"/>
                <w:sz w:val="28"/>
                <w:szCs w:val="28"/>
                <w:lang w:val="en-US" w:eastAsia="zh-CN"/>
              </w:rPr>
              <w:t>3</w:t>
            </w:r>
          </w:p>
        </w:tc>
        <w:tc>
          <w:tcPr>
            <w:tcW w:w="1657" w:type="pct"/>
            <w:tcBorders>
              <w:top w:val="single" w:color="auto" w:sz="4" w:space="0"/>
              <w:left w:val="single" w:color="auto" w:sz="4" w:space="0"/>
              <w:bottom w:val="single" w:color="auto" w:sz="4" w:space="0"/>
              <w:right w:val="single" w:color="auto" w:sz="4" w:space="0"/>
            </w:tcBorders>
            <w:vAlign w:val="center"/>
          </w:tcPr>
          <w:p w14:paraId="4513A40E">
            <w:pPr>
              <w:pStyle w:val="8"/>
              <w:pageBreakBefore w:val="0"/>
              <w:numPr>
                <w:ilvl w:val="0"/>
                <w:numId w:val="0"/>
              </w:numPr>
              <w:wordWrap/>
              <w:topLinePunct w:val="0"/>
              <w:bidi w:val="0"/>
              <w:spacing w:line="520" w:lineRule="exact"/>
              <w:ind w:left="0" w:leftChars="0" w:firstLine="0" w:firstLineChars="0"/>
              <w:jc w:val="center"/>
              <w:rPr>
                <w:rFonts w:hint="eastAsia" w:ascii="仿宋_GB2312" w:hAnsi="仿宋_GB2312" w:eastAsia="仿宋_GB2312" w:cs="仿宋_GB2312"/>
                <w:color w:val="auto"/>
                <w:sz w:val="28"/>
                <w:szCs w:val="28"/>
                <w:lang w:val="zh-CN" w:eastAsia="zh-CN"/>
              </w:rPr>
            </w:pPr>
            <w:r>
              <w:rPr>
                <w:rFonts w:hint="default" w:ascii="仿宋_GB2312" w:hAnsi="仿宋_GB2312" w:eastAsia="仿宋_GB2312" w:cs="仿宋_GB2312"/>
                <w:color w:val="auto"/>
                <w:sz w:val="28"/>
                <w:szCs w:val="28"/>
                <w:lang w:val="en-US" w:eastAsia="zh-CN"/>
              </w:rPr>
              <w:t>装载机(型号30#)</w:t>
            </w:r>
          </w:p>
        </w:tc>
        <w:tc>
          <w:tcPr>
            <w:tcW w:w="795" w:type="pct"/>
            <w:tcBorders>
              <w:top w:val="single" w:color="auto" w:sz="4" w:space="0"/>
              <w:left w:val="single" w:color="auto" w:sz="4" w:space="0"/>
              <w:bottom w:val="single" w:color="auto" w:sz="4" w:space="0"/>
              <w:right w:val="single" w:color="auto" w:sz="4" w:space="0"/>
            </w:tcBorders>
            <w:vAlign w:val="center"/>
          </w:tcPr>
          <w:p w14:paraId="00E818B0">
            <w:pPr>
              <w:pStyle w:val="8"/>
              <w:pageBreakBefore w:val="0"/>
              <w:numPr>
                <w:ilvl w:val="0"/>
                <w:numId w:val="0"/>
              </w:numPr>
              <w:wordWrap/>
              <w:topLinePunct w:val="0"/>
              <w:bidi w:val="0"/>
              <w:spacing w:line="520" w:lineRule="exact"/>
              <w:ind w:left="0" w:leftChars="0" w:firstLine="0" w:firstLineChars="0"/>
              <w:jc w:val="center"/>
              <w:rPr>
                <w:rFonts w:hint="eastAsia" w:ascii="仿宋_GB2312" w:hAnsi="仿宋_GB2312" w:eastAsia="仿宋_GB2312" w:cs="仿宋_GB2312"/>
                <w:color w:val="auto"/>
                <w:sz w:val="28"/>
                <w:szCs w:val="28"/>
                <w:lang w:val="zh-CN" w:eastAsia="zh-CN"/>
              </w:rPr>
            </w:pPr>
            <w:r>
              <w:rPr>
                <w:rFonts w:hint="eastAsia" w:ascii="仿宋_GB2312" w:hAnsi="仿宋_GB2312" w:eastAsia="仿宋_GB2312" w:cs="仿宋_GB2312"/>
                <w:color w:val="auto"/>
                <w:sz w:val="28"/>
                <w:szCs w:val="28"/>
                <w:lang w:val="en-US" w:eastAsia="zh-CN"/>
              </w:rPr>
              <w:t>35台班</w:t>
            </w:r>
          </w:p>
        </w:tc>
        <w:tc>
          <w:tcPr>
            <w:tcW w:w="1128" w:type="pct"/>
            <w:tcBorders>
              <w:top w:val="single" w:color="auto" w:sz="4" w:space="0"/>
              <w:left w:val="single" w:color="auto" w:sz="4" w:space="0"/>
              <w:bottom w:val="single" w:color="auto" w:sz="4" w:space="0"/>
              <w:right w:val="single" w:color="auto" w:sz="4" w:space="0"/>
            </w:tcBorders>
            <w:vAlign w:val="center"/>
          </w:tcPr>
          <w:p w14:paraId="646E45DD">
            <w:pPr>
              <w:pStyle w:val="8"/>
              <w:pageBreakBefore w:val="0"/>
              <w:numPr>
                <w:ilvl w:val="0"/>
                <w:numId w:val="0"/>
              </w:numPr>
              <w:wordWrap/>
              <w:topLinePunct w:val="0"/>
              <w:bidi w:val="0"/>
              <w:spacing w:line="520" w:lineRule="exact"/>
              <w:ind w:left="0" w:leftChars="0" w:firstLine="0" w:firstLineChars="0"/>
              <w:jc w:val="center"/>
              <w:rPr>
                <w:rFonts w:ascii="仿宋" w:hAnsi="仿宋" w:eastAsia="仿宋" w:cs="仿宋"/>
                <w:b w:val="0"/>
                <w:color w:val="auto"/>
                <w:kern w:val="2"/>
                <w:sz w:val="28"/>
                <w:szCs w:val="28"/>
                <w:lang w:val="zh-CN"/>
              </w:rPr>
            </w:pPr>
            <w:r>
              <w:rPr>
                <w:rFonts w:hint="eastAsia" w:ascii="仿宋_GB2312" w:hAnsi="仿宋_GB2312" w:eastAsia="仿宋_GB2312" w:cs="仿宋_GB2312"/>
                <w:color w:val="auto"/>
                <w:sz w:val="28"/>
                <w:szCs w:val="28"/>
                <w:u w:val="single"/>
                <w:lang w:val="en-US" w:eastAsia="zh-CN"/>
              </w:rPr>
              <w:t xml:space="preserve">     </w:t>
            </w:r>
            <w:r>
              <w:rPr>
                <w:rFonts w:hint="default" w:ascii="仿宋_GB2312" w:hAnsi="仿宋_GB2312" w:eastAsia="仿宋_GB2312" w:cs="仿宋_GB2312"/>
                <w:color w:val="auto"/>
                <w:sz w:val="28"/>
                <w:szCs w:val="28"/>
                <w:lang w:val="en-US" w:eastAsia="zh-CN"/>
              </w:rPr>
              <w:t>元/台班</w:t>
            </w:r>
          </w:p>
        </w:tc>
        <w:tc>
          <w:tcPr>
            <w:tcW w:w="645" w:type="pct"/>
            <w:tcBorders>
              <w:top w:val="single" w:color="auto" w:sz="4" w:space="0"/>
              <w:left w:val="single" w:color="auto" w:sz="4" w:space="0"/>
              <w:bottom w:val="single" w:color="auto" w:sz="4" w:space="0"/>
              <w:right w:val="single" w:color="auto" w:sz="4" w:space="0"/>
            </w:tcBorders>
            <w:vAlign w:val="center"/>
          </w:tcPr>
          <w:p w14:paraId="01EE2167">
            <w:pPr>
              <w:pStyle w:val="9"/>
              <w:pageBreakBefore w:val="0"/>
              <w:wordWrap/>
              <w:topLinePunct w:val="0"/>
              <w:bidi w:val="0"/>
              <w:spacing w:line="520" w:lineRule="exact"/>
              <w:rPr>
                <w:rFonts w:ascii="仿宋" w:hAnsi="仿宋" w:eastAsia="仿宋" w:cs="仿宋"/>
                <w:b w:val="0"/>
                <w:color w:val="auto"/>
                <w:kern w:val="2"/>
                <w:sz w:val="28"/>
                <w:szCs w:val="28"/>
                <w:lang w:val="zh-CN"/>
              </w:rPr>
            </w:pPr>
          </w:p>
        </w:tc>
        <w:tc>
          <w:tcPr>
            <w:tcW w:w="336" w:type="pct"/>
            <w:tcBorders>
              <w:top w:val="single" w:color="auto" w:sz="4" w:space="0"/>
              <w:left w:val="single" w:color="auto" w:sz="4" w:space="0"/>
              <w:bottom w:val="single" w:color="auto" w:sz="4" w:space="0"/>
              <w:right w:val="single" w:color="auto" w:sz="4" w:space="0"/>
            </w:tcBorders>
            <w:vAlign w:val="center"/>
          </w:tcPr>
          <w:p w14:paraId="76ABF359">
            <w:pPr>
              <w:pStyle w:val="9"/>
              <w:pageBreakBefore w:val="0"/>
              <w:wordWrap/>
              <w:topLinePunct w:val="0"/>
              <w:bidi w:val="0"/>
              <w:spacing w:line="520" w:lineRule="exact"/>
              <w:rPr>
                <w:rFonts w:ascii="仿宋" w:hAnsi="仿宋" w:eastAsia="仿宋" w:cs="仿宋"/>
                <w:b w:val="0"/>
                <w:color w:val="auto"/>
                <w:kern w:val="2"/>
                <w:sz w:val="28"/>
                <w:szCs w:val="28"/>
                <w:lang w:val="zh-CN"/>
              </w:rPr>
            </w:pPr>
          </w:p>
        </w:tc>
      </w:tr>
      <w:tr w14:paraId="624D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jc w:val="center"/>
        </w:trPr>
        <w:tc>
          <w:tcPr>
            <w:tcW w:w="2094" w:type="pct"/>
            <w:gridSpan w:val="2"/>
            <w:tcBorders>
              <w:top w:val="single" w:color="auto" w:sz="4" w:space="0"/>
              <w:left w:val="single" w:color="auto" w:sz="4" w:space="0"/>
              <w:bottom w:val="single" w:color="auto" w:sz="4" w:space="0"/>
              <w:right w:val="single" w:color="auto" w:sz="4" w:space="0"/>
            </w:tcBorders>
            <w:vAlign w:val="center"/>
          </w:tcPr>
          <w:p w14:paraId="51849B10">
            <w:pPr>
              <w:pStyle w:val="9"/>
              <w:pageBreakBefore w:val="0"/>
              <w:wordWrap/>
              <w:topLinePunct w:val="0"/>
              <w:bidi w:val="0"/>
              <w:spacing w:line="520" w:lineRule="exact"/>
              <w:rPr>
                <w:rFonts w:ascii="仿宋" w:hAnsi="仿宋" w:eastAsia="仿宋" w:cs="仿宋"/>
                <w:b w:val="0"/>
                <w:color w:val="auto"/>
                <w:kern w:val="2"/>
                <w:sz w:val="28"/>
                <w:szCs w:val="28"/>
              </w:rPr>
            </w:pPr>
            <w:r>
              <w:rPr>
                <w:rFonts w:hint="eastAsia" w:ascii="仿宋" w:hAnsi="仿宋" w:eastAsia="仿宋" w:cs="仿宋"/>
                <w:b w:val="0"/>
                <w:color w:val="auto"/>
                <w:kern w:val="2"/>
                <w:sz w:val="28"/>
                <w:szCs w:val="28"/>
              </w:rPr>
              <w:t>合计（元）</w:t>
            </w:r>
          </w:p>
        </w:tc>
        <w:tc>
          <w:tcPr>
            <w:tcW w:w="2905" w:type="pct"/>
            <w:gridSpan w:val="4"/>
            <w:tcBorders>
              <w:top w:val="single" w:color="auto" w:sz="4" w:space="0"/>
              <w:left w:val="single" w:color="auto" w:sz="4" w:space="0"/>
              <w:bottom w:val="single" w:color="auto" w:sz="4" w:space="0"/>
              <w:right w:val="single" w:color="auto" w:sz="4" w:space="0"/>
            </w:tcBorders>
            <w:vAlign w:val="center"/>
          </w:tcPr>
          <w:p w14:paraId="027E5285">
            <w:pPr>
              <w:pStyle w:val="9"/>
              <w:pageBreakBefore w:val="0"/>
              <w:wordWrap/>
              <w:topLinePunct w:val="0"/>
              <w:bidi w:val="0"/>
              <w:spacing w:line="520" w:lineRule="exact"/>
              <w:rPr>
                <w:rFonts w:ascii="仿宋" w:hAnsi="仿宋" w:eastAsia="仿宋" w:cs="仿宋"/>
                <w:b w:val="0"/>
                <w:color w:val="auto"/>
                <w:kern w:val="2"/>
                <w:sz w:val="28"/>
                <w:szCs w:val="28"/>
                <w:lang w:val="zh-CN"/>
              </w:rPr>
            </w:pPr>
          </w:p>
        </w:tc>
      </w:tr>
    </w:tbl>
    <w:p w14:paraId="6B3A2F99">
      <w:pPr>
        <w:keepNext w:val="0"/>
        <w:keepLines w:val="0"/>
        <w:pageBreakBefore w:val="0"/>
        <w:widowControl w:val="0"/>
        <w:kinsoku/>
        <w:wordWrap/>
        <w:overflowPunct w:val="0"/>
        <w:topLinePunct w:val="0"/>
        <w:autoSpaceDE w:val="0"/>
        <w:autoSpaceDN w:val="0"/>
        <w:bidi w:val="0"/>
        <w:adjustRightInd w:val="0"/>
        <w:snapToGrid w:val="0"/>
        <w:spacing w:line="520" w:lineRule="exact"/>
        <w:ind w:right="0" w:rightChars="0"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 w:val="0"/>
          <w:color w:val="auto"/>
          <w:kern w:val="2"/>
          <w:sz w:val="28"/>
          <w:szCs w:val="28"/>
          <w:lang w:val="en-US" w:eastAsia="zh-CN"/>
        </w:rPr>
        <w:t>注：本工作量为暂定数量，最终以实际工作量及成交单价据实结算为准。</w:t>
      </w:r>
    </w:p>
    <w:p w14:paraId="503E653E">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20" w:lineRule="exact"/>
        <w:ind w:right="0" w:rightChars="0" w:firstLine="560" w:firstLineChars="200"/>
        <w:jc w:val="both"/>
        <w:textAlignment w:val="auto"/>
        <w:rPr>
          <w:rFonts w:hint="eastAsia" w:ascii="仿宋" w:hAnsi="仿宋" w:eastAsia="仿宋" w:cs="仿宋"/>
          <w:bCs/>
          <w:color w:val="auto"/>
          <w:sz w:val="28"/>
          <w:szCs w:val="28"/>
          <w:highlight w:val="yellow"/>
        </w:rPr>
      </w:pPr>
      <w:r>
        <w:rPr>
          <w:rFonts w:hint="eastAsia" w:ascii="仿宋" w:hAnsi="仿宋" w:eastAsia="仿宋" w:cs="仿宋"/>
          <w:bCs/>
          <w:color w:val="auto"/>
          <w:kern w:val="2"/>
          <w:sz w:val="28"/>
          <w:szCs w:val="28"/>
          <w:highlight w:val="none"/>
          <w:u w:val="none"/>
          <w:lang w:val="en-US" w:eastAsia="zh-CN" w:bidi="ar-SA"/>
        </w:rPr>
        <w:t>2.合同价款确定方式：固定单价合同。</w:t>
      </w: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价款</w:t>
      </w:r>
      <w:r>
        <w:rPr>
          <w:rFonts w:hint="eastAsia" w:ascii="仿宋" w:hAnsi="仿宋" w:eastAsia="仿宋" w:cs="仿宋"/>
          <w:bCs/>
          <w:color w:val="auto"/>
          <w:sz w:val="28"/>
          <w:szCs w:val="28"/>
          <w:highlight w:val="none"/>
        </w:rPr>
        <w:t>包括但不限于完成该项目的人工费、材料费、拆除费、运输费（油费、折旧、维修）、垃圾消纳处置费、防污治霾费、管理费、利润、税金、保险费、代理费、其它费用以及合同明示或暗示的所有风险、责任和义务等全部费用。</w:t>
      </w:r>
    </w:p>
    <w:p w14:paraId="13C092C9">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20" w:lineRule="exact"/>
        <w:ind w:right="0" w:right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七、款项结算</w:t>
      </w:r>
    </w:p>
    <w:p w14:paraId="2D3D5E9D">
      <w:pPr>
        <w:keepNext w:val="0"/>
        <w:keepLines w:val="0"/>
        <w:pageBreakBefore w:val="0"/>
        <w:widowControl w:val="0"/>
        <w:tabs>
          <w:tab w:val="left" w:pos="9030"/>
        </w:tabs>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yellow"/>
          <w:lang w:val="en-US" w:eastAsia="zh-CN"/>
        </w:rPr>
      </w:pPr>
      <w:r>
        <w:rPr>
          <w:rFonts w:hint="eastAsia" w:ascii="仿宋" w:hAnsi="仿宋" w:eastAsia="仿宋" w:cs="仿宋"/>
          <w:bCs/>
          <w:color w:val="auto"/>
          <w:sz w:val="28"/>
          <w:szCs w:val="28"/>
          <w:highlight w:val="none"/>
        </w:rPr>
        <w:t>付款方式：</w:t>
      </w:r>
      <w:r>
        <w:rPr>
          <w:rFonts w:hint="eastAsia" w:ascii="仿宋" w:hAnsi="仿宋" w:eastAsia="仿宋" w:cs="仿宋"/>
          <w:color w:val="auto"/>
          <w:sz w:val="28"/>
          <w:szCs w:val="28"/>
          <w:highlight w:val="none"/>
          <w:lang w:val="en-US" w:eastAsia="zh-CN"/>
        </w:rPr>
        <w:t>按月结算，每月工作完成后，由乙方提供结算所需资料，次月以最终实际工作量及成交单价据实结算。</w:t>
      </w:r>
    </w:p>
    <w:p w14:paraId="383D8EDB">
      <w:pPr>
        <w:keepNext w:val="0"/>
        <w:keepLines w:val="0"/>
        <w:pageBreakBefore w:val="0"/>
        <w:widowControl w:val="0"/>
        <w:kinsoku/>
        <w:wordWrap/>
        <w:overflowPunct w:val="0"/>
        <w:topLinePunct w:val="0"/>
        <w:autoSpaceDE w:val="0"/>
        <w:autoSpaceDN w:val="0"/>
        <w:bidi w:val="0"/>
        <w:adjustRightInd w:val="0"/>
        <w:spacing w:line="520" w:lineRule="exact"/>
        <w:ind w:left="0" w:right="0" w:rightChars="0" w:firstLine="560" w:firstLineChars="200"/>
        <w:jc w:val="both"/>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付款依据：供应商开具的等额发票、竞争性磋商文件及响应文件、合同、服务清单。</w:t>
      </w:r>
    </w:p>
    <w:p w14:paraId="11A6C0DF">
      <w:pPr>
        <w:keepNext w:val="0"/>
        <w:keepLines w:val="0"/>
        <w:pageBreakBefore w:val="0"/>
        <w:widowControl w:val="0"/>
        <w:kinsoku/>
        <w:wordWrap/>
        <w:overflowPunct w:val="0"/>
        <w:topLinePunct w:val="0"/>
        <w:autoSpaceDE w:val="0"/>
        <w:autoSpaceDN w:val="0"/>
        <w:bidi w:val="0"/>
        <w:adjustRightInd w:val="0"/>
        <w:snapToGrid/>
        <w:spacing w:line="520" w:lineRule="exact"/>
        <w:ind w:right="0" w:right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八、双方的权利和义务</w:t>
      </w:r>
    </w:p>
    <w:p w14:paraId="03B7C94B">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双方确定，在本合同有效期内，甲方指定</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为甲方项目联系人（电话：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），乙方指定</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为乙方项目联系人（电话：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6BCF7821">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一方变更项目联系人的，应当及时以书面形式通知另一方。未及时通知并影响本合同履行或造成损失的，应承担相应的责任。</w:t>
      </w:r>
    </w:p>
    <w:p w14:paraId="234E9CF0">
      <w:pPr>
        <w:keepNext w:val="0"/>
        <w:keepLines w:val="0"/>
        <w:pageBreakBefore w:val="0"/>
        <w:widowControl w:val="0"/>
        <w:kinsoku/>
        <w:wordWrap/>
        <w:overflowPunct w:val="0"/>
        <w:topLinePunct w:val="0"/>
        <w:autoSpaceDE w:val="0"/>
        <w:autoSpaceDN w:val="0"/>
        <w:bidi w:val="0"/>
        <w:adjustRightInd w:val="0"/>
        <w:snapToGrid w:val="0"/>
        <w:spacing w:line="520" w:lineRule="exact"/>
        <w:ind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甲方的权利和</w:t>
      </w:r>
      <w:r>
        <w:rPr>
          <w:rFonts w:hint="eastAsia" w:ascii="仿宋" w:hAnsi="仿宋" w:eastAsia="仿宋" w:cs="仿宋"/>
          <w:color w:val="auto"/>
          <w:sz w:val="28"/>
          <w:szCs w:val="28"/>
          <w:highlight w:val="none"/>
          <w:lang w:val="en-US" w:eastAsia="zh-CN"/>
        </w:rPr>
        <w:t>义务</w:t>
      </w:r>
    </w:p>
    <w:p w14:paraId="6552ED1E">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甲方有权对乙方执行垃圾清运的过程进行监督、管理</w:t>
      </w:r>
      <w:r>
        <w:rPr>
          <w:rFonts w:hint="eastAsia" w:ascii="仿宋" w:hAnsi="仿宋" w:eastAsia="仿宋" w:cs="仿宋"/>
          <w:color w:val="auto"/>
          <w:sz w:val="28"/>
          <w:szCs w:val="28"/>
          <w:highlight w:val="none"/>
          <w:lang w:eastAsia="zh-CN"/>
        </w:rPr>
        <w:t>。</w:t>
      </w:r>
    </w:p>
    <w:p w14:paraId="22BD080D">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若乙方清运现场不符合治污减霾和防尘降噪的相关规定，甲方有权对乙方提出整改要求和处罚;乙方拒不整改或整改不到位的，甲方有权终止合同并将乙方清理出场</w:t>
      </w:r>
      <w:r>
        <w:rPr>
          <w:rFonts w:hint="eastAsia" w:ascii="仿宋" w:hAnsi="仿宋" w:eastAsia="仿宋" w:cs="仿宋"/>
          <w:color w:val="auto"/>
          <w:sz w:val="28"/>
          <w:szCs w:val="28"/>
          <w:highlight w:val="none"/>
          <w:lang w:eastAsia="zh-CN"/>
        </w:rPr>
        <w:t>。</w:t>
      </w:r>
    </w:p>
    <w:p w14:paraId="1232098A">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甲方有权对乙方清运完成情况进行确认</w:t>
      </w:r>
      <w:r>
        <w:rPr>
          <w:rFonts w:hint="eastAsia" w:ascii="仿宋" w:hAnsi="仿宋" w:eastAsia="仿宋" w:cs="仿宋"/>
          <w:color w:val="auto"/>
          <w:sz w:val="28"/>
          <w:szCs w:val="28"/>
          <w:highlight w:val="none"/>
          <w:lang w:eastAsia="zh-CN"/>
        </w:rPr>
        <w:t>。</w:t>
      </w:r>
    </w:p>
    <w:p w14:paraId="665B5526">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如遇突击清运、特殊清运、垃圾量临时增加等特殊情况时，甲方通知乙方安排处理，乙方不得拒绝清运并保证自接到甲方通知时起</w:t>
      </w:r>
      <w:r>
        <w:rPr>
          <w:rFonts w:hint="eastAsia" w:ascii="仿宋" w:hAnsi="仿宋" w:eastAsia="仿宋" w:cs="仿宋"/>
          <w:color w:val="auto"/>
          <w:sz w:val="28"/>
          <w:szCs w:val="28"/>
          <w:highlight w:val="none"/>
          <w:lang w:val="en-US" w:eastAsia="zh-CN"/>
        </w:rPr>
        <w:t>规定时间</w:t>
      </w:r>
      <w:r>
        <w:rPr>
          <w:rFonts w:hint="eastAsia" w:ascii="仿宋" w:hAnsi="仿宋" w:eastAsia="仿宋" w:cs="仿宋"/>
          <w:color w:val="auto"/>
          <w:sz w:val="28"/>
          <w:szCs w:val="28"/>
          <w:highlight w:val="none"/>
          <w:lang w:eastAsia="zh-CN"/>
        </w:rPr>
        <w:t>内派人到现场进行清运。</w:t>
      </w:r>
    </w:p>
    <w:p w14:paraId="4D404511">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甲方应按照约定支付合同价款</w:t>
      </w:r>
      <w:r>
        <w:rPr>
          <w:rFonts w:hint="eastAsia" w:ascii="仿宋" w:hAnsi="仿宋" w:eastAsia="仿宋" w:cs="仿宋"/>
          <w:color w:val="auto"/>
          <w:sz w:val="28"/>
          <w:szCs w:val="28"/>
          <w:highlight w:val="none"/>
          <w:lang w:eastAsia="zh-CN"/>
        </w:rPr>
        <w:t>。</w:t>
      </w:r>
    </w:p>
    <w:p w14:paraId="1AF669EB">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乙方的</w:t>
      </w:r>
      <w:r>
        <w:rPr>
          <w:rFonts w:hint="eastAsia" w:ascii="仿宋" w:hAnsi="仿宋" w:eastAsia="仿宋" w:cs="仿宋"/>
          <w:color w:val="auto"/>
          <w:sz w:val="28"/>
          <w:szCs w:val="28"/>
          <w:highlight w:val="none"/>
          <w:lang w:val="en-US" w:eastAsia="zh-CN"/>
        </w:rPr>
        <w:t>权利和义务</w:t>
      </w:r>
    </w:p>
    <w:p w14:paraId="38816D26">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（1）乙方在履行合同义务的情形下有权要求甲方按本合同约定及时支付合同价款。</w:t>
      </w:r>
    </w:p>
    <w:p w14:paraId="14F5C293">
      <w:pPr>
        <w:pStyle w:val="4"/>
        <w:keepNext w:val="0"/>
        <w:keepLines w:val="0"/>
        <w:pageBreakBefore w:val="0"/>
        <w:widowControl w:val="0"/>
        <w:kinsoku/>
        <w:wordWrap/>
        <w:overflowPunct w:val="0"/>
        <w:topLinePunct w:val="0"/>
        <w:autoSpaceDE w:val="0"/>
        <w:autoSpaceDN w:val="0"/>
        <w:bidi w:val="0"/>
        <w:adjustRightInd w:val="0"/>
        <w:spacing w:line="520" w:lineRule="exact"/>
        <w:ind w:left="0" w:leftChars="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（2）乙方按照合同的规定承担甲方指定范围内的垃圾清运任务。</w:t>
      </w:r>
    </w:p>
    <w:p w14:paraId="5A951330">
      <w:pPr>
        <w:pStyle w:val="4"/>
        <w:keepNext w:val="0"/>
        <w:keepLines w:val="0"/>
        <w:pageBreakBefore w:val="0"/>
        <w:widowControl w:val="0"/>
        <w:kinsoku/>
        <w:wordWrap/>
        <w:overflowPunct w:val="0"/>
        <w:topLinePunct w:val="0"/>
        <w:autoSpaceDE w:val="0"/>
        <w:autoSpaceDN w:val="0"/>
        <w:bidi w:val="0"/>
        <w:adjustRightInd w:val="0"/>
        <w:spacing w:line="520" w:lineRule="exact"/>
        <w:ind w:left="0" w:leftChars="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（3）接受甲方和各级主管部门的监督和管理。</w:t>
      </w:r>
    </w:p>
    <w:p w14:paraId="46BA0D40">
      <w:pPr>
        <w:pStyle w:val="4"/>
        <w:keepNext w:val="0"/>
        <w:keepLines w:val="0"/>
        <w:pageBreakBefore w:val="0"/>
        <w:widowControl w:val="0"/>
        <w:kinsoku/>
        <w:wordWrap/>
        <w:overflowPunct w:val="0"/>
        <w:topLinePunct w:val="0"/>
        <w:autoSpaceDE w:val="0"/>
        <w:autoSpaceDN w:val="0"/>
        <w:bidi w:val="0"/>
        <w:adjustRightInd w:val="0"/>
        <w:spacing w:line="520" w:lineRule="exact"/>
        <w:ind w:left="0" w:leftChars="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乙方应做好垃圾运输过程中沿途的安全防护工作，在垃圾堆放场地严防因堆放和防护不当而造成的塌方、滑坡等安全事故，如因此发生安全事故，一切损失和责任由乙方承担;乙方因履行本合同所发生的一切事故(包括的不限于交通事故/工伤事故等)均由乙方自行承担，与甲方无关，若甲方因此承担赔偿责任的有权向乙方追偿。</w:t>
      </w:r>
    </w:p>
    <w:p w14:paraId="14FED4B0">
      <w:pPr>
        <w:pStyle w:val="4"/>
        <w:keepNext w:val="0"/>
        <w:keepLines w:val="0"/>
        <w:pageBreakBefore w:val="0"/>
        <w:widowControl w:val="0"/>
        <w:kinsoku/>
        <w:wordWrap/>
        <w:overflowPunct w:val="0"/>
        <w:topLinePunct w:val="0"/>
        <w:autoSpaceDE w:val="0"/>
        <w:autoSpaceDN w:val="0"/>
        <w:bidi w:val="0"/>
        <w:adjustRightInd w:val="0"/>
        <w:spacing w:line="520" w:lineRule="exact"/>
        <w:ind w:left="0" w:leftChars="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乙方应对垃圾清运人员进行岗前和岗中职业培训，提高作业人员的文化水平和专业技能。对于不适应岗位要求的作业人员，甲方有权建议乙方予以调换，乙方需无条件采纳甲方建议，并按照甲方要求（时间、人次、专业技能等）进行调整。</w:t>
      </w:r>
    </w:p>
    <w:p w14:paraId="63163B25">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2" w:firstLineChars="200"/>
        <w:jc w:val="both"/>
        <w:rPr>
          <w:rFonts w:hint="eastAsia" w:ascii="仿宋" w:hAnsi="仿宋" w:eastAsia="仿宋" w:cs="仿宋"/>
          <w:b/>
          <w:bCs/>
          <w:color w:val="auto"/>
          <w:kern w:val="0"/>
          <w:sz w:val="28"/>
          <w:szCs w:val="28"/>
          <w:highlight w:val="none"/>
        </w:rPr>
      </w:pP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w:t>
      </w:r>
      <w:r>
        <w:rPr>
          <w:rFonts w:hint="eastAsia" w:ascii="仿宋" w:hAnsi="仿宋" w:eastAsia="仿宋" w:cs="仿宋"/>
          <w:b/>
          <w:bCs/>
          <w:color w:val="auto"/>
          <w:kern w:val="0"/>
          <w:sz w:val="28"/>
          <w:szCs w:val="28"/>
          <w:highlight w:val="none"/>
        </w:rPr>
        <w:t>争议解决</w:t>
      </w:r>
    </w:p>
    <w:p w14:paraId="05FA8023">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因本合同或与本合同有关的一切事项发生争议，由双方友好协商解决。协商不成的，任何一方均可选择以下方式解决：</w:t>
      </w:r>
    </w:p>
    <w:p w14:paraId="3B751955">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1.向甲方所在地仲裁委员会申请仲裁。</w:t>
      </w:r>
    </w:p>
    <w:p w14:paraId="3940237F">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2.向甲方所在地人民法院提起诉讼。</w:t>
      </w:r>
    </w:p>
    <w:p w14:paraId="05A70FCD">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2" w:firstLineChars="200"/>
        <w:jc w:val="both"/>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十</w:t>
      </w:r>
      <w:r>
        <w:rPr>
          <w:rFonts w:hint="eastAsia" w:ascii="仿宋" w:hAnsi="仿宋" w:eastAsia="仿宋" w:cs="仿宋"/>
          <w:b/>
          <w:color w:val="auto"/>
          <w:sz w:val="28"/>
          <w:szCs w:val="28"/>
          <w:highlight w:val="none"/>
        </w:rPr>
        <w:t>、违约责任</w:t>
      </w:r>
    </w:p>
    <w:p w14:paraId="522119AB">
      <w:pPr>
        <w:keepNext w:val="0"/>
        <w:keepLines w:val="0"/>
        <w:pageBreakBefore w:val="0"/>
        <w:widowControl/>
        <w:kinsoku/>
        <w:wordWrap/>
        <w:overflowPunct/>
        <w:topLinePunct w:val="0"/>
        <w:autoSpaceDE w:val="0"/>
        <w:autoSpaceDN w:val="0"/>
        <w:bidi w:val="0"/>
        <w:adjustRightInd w:val="0"/>
        <w:snapToGrid w:val="0"/>
        <w:spacing w:line="520" w:lineRule="exact"/>
        <w:ind w:left="0" w:right="0" w:rightChars="0" w:firstLine="596" w:firstLineChars="200"/>
        <w:textAlignment w:val="baseline"/>
        <w:rPr>
          <w:rFonts w:hint="eastAsia" w:ascii="仿宋" w:hAnsi="仿宋" w:eastAsia="仿宋" w:cs="仿宋"/>
          <w:color w:val="auto"/>
          <w:spacing w:val="9"/>
          <w:sz w:val="28"/>
          <w:szCs w:val="28"/>
          <w:highlight w:val="none"/>
          <w:lang w:val="en-US" w:eastAsia="zh-CN"/>
        </w:rPr>
      </w:pPr>
      <w:r>
        <w:rPr>
          <w:rFonts w:hint="eastAsia" w:ascii="仿宋" w:hAnsi="仿宋" w:eastAsia="仿宋" w:cs="仿宋"/>
          <w:color w:val="auto"/>
          <w:spacing w:val="9"/>
          <w:sz w:val="28"/>
          <w:szCs w:val="28"/>
          <w:highlight w:val="none"/>
        </w:rPr>
        <w:t>1</w:t>
      </w:r>
      <w:r>
        <w:rPr>
          <w:rFonts w:hint="eastAsia" w:ascii="仿宋" w:hAnsi="仿宋" w:eastAsia="仿宋" w:cs="仿宋"/>
          <w:color w:val="auto"/>
          <w:spacing w:val="9"/>
          <w:sz w:val="28"/>
          <w:szCs w:val="28"/>
          <w:highlight w:val="none"/>
          <w:lang w:eastAsia="zh-CN"/>
        </w:rPr>
        <w:t>.</w:t>
      </w:r>
      <w:r>
        <w:rPr>
          <w:rFonts w:hint="eastAsia" w:ascii="仿宋" w:hAnsi="仿宋" w:eastAsia="仿宋" w:cs="仿宋"/>
          <w:color w:val="auto"/>
          <w:spacing w:val="9"/>
          <w:sz w:val="28"/>
          <w:szCs w:val="28"/>
          <w:highlight w:val="none"/>
          <w:lang w:val="en-US" w:eastAsia="zh-CN"/>
        </w:rPr>
        <w:t xml:space="preserve">甲方对乙方垃圾清运工作提出整改意见时，乙方需积极响应，并在3日内按照甲方要求无条件进行调整。乙方连续调整3次仍无法达到甲方要求或乙方拒绝调整的，甲方有权单方解除合同（合同自甲方书面解除通知送达乙方之日起解除），要求其支付合同暂定金额的20％违约金，违约金不足以弥补甲方损失的，乙方需另行支付。   </w:t>
      </w:r>
    </w:p>
    <w:p w14:paraId="2614D696">
      <w:pPr>
        <w:keepNext w:val="0"/>
        <w:keepLines w:val="0"/>
        <w:pageBreakBefore w:val="0"/>
        <w:widowControl/>
        <w:kinsoku/>
        <w:wordWrap/>
        <w:overflowPunct/>
        <w:topLinePunct w:val="0"/>
        <w:autoSpaceDE w:val="0"/>
        <w:autoSpaceDN w:val="0"/>
        <w:bidi w:val="0"/>
        <w:adjustRightInd w:val="0"/>
        <w:snapToGrid w:val="0"/>
        <w:spacing w:line="520" w:lineRule="exact"/>
        <w:ind w:left="0" w:right="0" w:rightChars="0" w:firstLine="596" w:firstLineChars="200"/>
        <w:textAlignment w:val="baseline"/>
        <w:rPr>
          <w:rFonts w:hint="eastAsia" w:ascii="仿宋" w:hAnsi="仿宋" w:eastAsia="仿宋" w:cs="仿宋"/>
          <w:color w:val="auto"/>
          <w:spacing w:val="7"/>
          <w:sz w:val="28"/>
          <w:szCs w:val="28"/>
          <w:highlight w:val="none"/>
        </w:rPr>
      </w:pPr>
      <w:r>
        <w:rPr>
          <w:rFonts w:hint="eastAsia" w:ascii="仿宋" w:hAnsi="仿宋" w:eastAsia="仿宋" w:cs="仿宋"/>
          <w:color w:val="auto"/>
          <w:spacing w:val="9"/>
          <w:sz w:val="28"/>
          <w:szCs w:val="28"/>
          <w:highlight w:val="none"/>
        </w:rPr>
        <w:t>2</w:t>
      </w:r>
      <w:r>
        <w:rPr>
          <w:rFonts w:hint="eastAsia" w:ascii="仿宋" w:hAnsi="仿宋" w:eastAsia="仿宋" w:cs="仿宋"/>
          <w:color w:val="auto"/>
          <w:spacing w:val="9"/>
          <w:sz w:val="28"/>
          <w:szCs w:val="28"/>
          <w:highlight w:val="none"/>
          <w:lang w:eastAsia="zh-CN"/>
        </w:rPr>
        <w:t>.</w:t>
      </w:r>
      <w:r>
        <w:rPr>
          <w:rFonts w:hint="eastAsia" w:ascii="仿宋" w:hAnsi="仿宋" w:eastAsia="仿宋" w:cs="仿宋"/>
          <w:color w:val="auto"/>
          <w:spacing w:val="9"/>
          <w:sz w:val="28"/>
          <w:szCs w:val="28"/>
          <w:highlight w:val="none"/>
        </w:rPr>
        <w:t>甲乙双方在合同履行过程中如未取得对方的书面同意，一方不能提前解除合同。如果未经对方同意解除合</w:t>
      </w:r>
      <w:r>
        <w:rPr>
          <w:rFonts w:hint="eastAsia" w:ascii="仿宋" w:hAnsi="仿宋" w:eastAsia="仿宋" w:cs="仿宋"/>
          <w:color w:val="auto"/>
          <w:spacing w:val="7"/>
          <w:sz w:val="28"/>
          <w:szCs w:val="28"/>
          <w:highlight w:val="none"/>
        </w:rPr>
        <w:t>同，应承担违约责任。</w:t>
      </w:r>
    </w:p>
    <w:p w14:paraId="4573ADC3">
      <w:pPr>
        <w:keepNext w:val="0"/>
        <w:keepLines w:val="0"/>
        <w:pageBreakBefore w:val="0"/>
        <w:widowControl/>
        <w:kinsoku/>
        <w:wordWrap/>
        <w:overflowPunct/>
        <w:topLinePunct w:val="0"/>
        <w:autoSpaceDE w:val="0"/>
        <w:autoSpaceDN w:val="0"/>
        <w:bidi w:val="0"/>
        <w:adjustRightInd w:val="0"/>
        <w:snapToGrid w:val="0"/>
        <w:spacing w:line="520" w:lineRule="exact"/>
        <w:ind w:left="0" w:right="0" w:rightChars="0" w:firstLine="596"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pacing w:val="9"/>
          <w:sz w:val="28"/>
          <w:szCs w:val="28"/>
          <w:highlight w:val="none"/>
        </w:rPr>
        <w:t>3</w:t>
      </w:r>
      <w:r>
        <w:rPr>
          <w:rFonts w:hint="eastAsia" w:ascii="仿宋" w:hAnsi="仿宋" w:eastAsia="仿宋" w:cs="仿宋"/>
          <w:color w:val="auto"/>
          <w:spacing w:val="9"/>
          <w:sz w:val="28"/>
          <w:szCs w:val="28"/>
          <w:highlight w:val="none"/>
          <w:lang w:eastAsia="zh-CN"/>
        </w:rPr>
        <w:t>.</w:t>
      </w:r>
      <w:r>
        <w:rPr>
          <w:rFonts w:hint="eastAsia" w:ascii="仿宋" w:hAnsi="仿宋" w:eastAsia="仿宋" w:cs="仿宋"/>
          <w:color w:val="auto"/>
          <w:spacing w:val="9"/>
          <w:sz w:val="28"/>
          <w:szCs w:val="28"/>
          <w:highlight w:val="none"/>
        </w:rPr>
        <w:t>在本合同履行过程中，双方因违约或造成对方经济、社会效益等损失的应当赔偿。</w:t>
      </w:r>
    </w:p>
    <w:p w14:paraId="2B24A619">
      <w:pPr>
        <w:keepNext w:val="0"/>
        <w:keepLines w:val="0"/>
        <w:pageBreakBefore w:val="0"/>
        <w:widowControl/>
        <w:kinsoku/>
        <w:wordWrap/>
        <w:overflowPunct/>
        <w:topLinePunct w:val="0"/>
        <w:autoSpaceDE w:val="0"/>
        <w:autoSpaceDN w:val="0"/>
        <w:bidi w:val="0"/>
        <w:adjustRightInd w:val="0"/>
        <w:snapToGrid w:val="0"/>
        <w:spacing w:line="520" w:lineRule="exact"/>
        <w:ind w:left="0" w:right="0" w:rightChars="0" w:firstLine="596"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pacing w:val="9"/>
          <w:sz w:val="28"/>
          <w:szCs w:val="28"/>
          <w:highlight w:val="none"/>
        </w:rPr>
        <w:t>4</w:t>
      </w:r>
      <w:r>
        <w:rPr>
          <w:rFonts w:hint="eastAsia" w:ascii="仿宋" w:hAnsi="仿宋" w:eastAsia="仿宋" w:cs="仿宋"/>
          <w:color w:val="auto"/>
          <w:spacing w:val="9"/>
          <w:sz w:val="28"/>
          <w:szCs w:val="28"/>
          <w:highlight w:val="none"/>
          <w:lang w:eastAsia="zh-CN"/>
        </w:rPr>
        <w:t>.</w:t>
      </w:r>
      <w:r>
        <w:rPr>
          <w:rFonts w:hint="eastAsia" w:ascii="仿宋" w:hAnsi="仿宋" w:eastAsia="仿宋" w:cs="仿宋"/>
          <w:color w:val="auto"/>
          <w:spacing w:val="9"/>
          <w:sz w:val="28"/>
          <w:szCs w:val="28"/>
          <w:highlight w:val="none"/>
        </w:rPr>
        <w:t>未经甲方同意，乙方不得擅自将本合同服务转包第三方承担。</w:t>
      </w:r>
    </w:p>
    <w:p w14:paraId="4958720F">
      <w:pPr>
        <w:keepNext w:val="0"/>
        <w:keepLines w:val="0"/>
        <w:pageBreakBefore w:val="0"/>
        <w:widowControl w:val="0"/>
        <w:kinsoku/>
        <w:wordWrap/>
        <w:overflowPunct w:val="0"/>
        <w:topLinePunct w:val="0"/>
        <w:bidi w:val="0"/>
        <w:adjustRightInd w:val="0"/>
        <w:spacing w:line="520" w:lineRule="exact"/>
        <w:ind w:left="0" w:right="0" w:rightChars="0" w:firstLine="562" w:firstLineChars="200"/>
        <w:jc w:val="both"/>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rPr>
        <w:t>十一、</w:t>
      </w:r>
      <w:r>
        <w:rPr>
          <w:rFonts w:hint="eastAsia" w:ascii="仿宋" w:hAnsi="仿宋" w:eastAsia="仿宋" w:cs="仿宋"/>
          <w:b/>
          <w:bCs/>
          <w:color w:val="auto"/>
          <w:kern w:val="0"/>
          <w:sz w:val="28"/>
          <w:szCs w:val="28"/>
          <w:highlight w:val="none"/>
        </w:rPr>
        <w:fldChar w:fldCharType="begin"/>
      </w:r>
      <w:r>
        <w:rPr>
          <w:rFonts w:hint="eastAsia" w:ascii="仿宋" w:hAnsi="仿宋" w:eastAsia="仿宋" w:cs="仿宋"/>
          <w:b/>
          <w:bCs/>
          <w:color w:val="auto"/>
          <w:kern w:val="0"/>
          <w:sz w:val="28"/>
          <w:szCs w:val="28"/>
          <w:highlight w:val="none"/>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bCs/>
          <w:color w:val="auto"/>
          <w:kern w:val="0"/>
          <w:sz w:val="28"/>
          <w:szCs w:val="28"/>
          <w:highlight w:val="none"/>
        </w:rPr>
        <w:fldChar w:fldCharType="separate"/>
      </w:r>
      <w:r>
        <w:rPr>
          <w:rFonts w:hint="eastAsia" w:ascii="仿宋" w:hAnsi="仿宋" w:eastAsia="仿宋" w:cs="仿宋"/>
          <w:b/>
          <w:bCs/>
          <w:color w:val="auto"/>
          <w:kern w:val="0"/>
          <w:sz w:val="28"/>
          <w:szCs w:val="28"/>
          <w:highlight w:val="none"/>
        </w:rPr>
        <w:t>不可抗力</w:t>
      </w:r>
      <w:r>
        <w:rPr>
          <w:rFonts w:hint="eastAsia" w:ascii="仿宋" w:hAnsi="仿宋" w:eastAsia="仿宋" w:cs="仿宋"/>
          <w:b/>
          <w:bCs/>
          <w:color w:val="auto"/>
          <w:kern w:val="0"/>
          <w:sz w:val="28"/>
          <w:szCs w:val="28"/>
          <w:highlight w:val="none"/>
        </w:rPr>
        <w:fldChar w:fldCharType="end"/>
      </w:r>
    </w:p>
    <w:p w14:paraId="4B764FA4">
      <w:pPr>
        <w:keepNext w:val="0"/>
        <w:keepLines w:val="0"/>
        <w:pageBreakBefore w:val="0"/>
        <w:kinsoku/>
        <w:wordWrap/>
        <w:overflowPunct/>
        <w:topLinePunct w:val="0"/>
        <w:bidi w:val="0"/>
        <w:adjustRightInd/>
        <w:spacing w:line="520" w:lineRule="exact"/>
        <w:ind w:left="0" w:right="0" w:rightChars="0" w:firstLine="560" w:firstLineChars="200"/>
        <w:rPr>
          <w:rFonts w:hint="eastAsia" w:ascii="仿宋" w:hAnsi="仿宋" w:eastAsia="仿宋" w:cs="仿宋"/>
          <w:b/>
          <w:bCs/>
          <w:color w:val="auto"/>
          <w:kern w:val="0"/>
          <w:sz w:val="28"/>
          <w:szCs w:val="28"/>
          <w:highlight w:val="none"/>
        </w:rPr>
      </w:pPr>
      <w:r>
        <w:rPr>
          <w:rFonts w:hint="eastAsia" w:ascii="仿宋_GB2312" w:hAnsi="仿宋_GB2312" w:eastAsia="仿宋_GB2312" w:cs="仿宋_GB2312"/>
          <w:color w:val="auto"/>
          <w:sz w:val="28"/>
          <w:szCs w:val="28"/>
          <w:lang w:eastAsia="zh-CN"/>
        </w:rPr>
        <w:t>甲乙双方任何一方由于</w:t>
      </w:r>
      <w:r>
        <w:rPr>
          <w:rFonts w:hint="eastAsia" w:ascii="仿宋_GB2312" w:hAnsi="仿宋_GB2312" w:eastAsia="仿宋_GB2312" w:cs="仿宋_GB2312"/>
          <w:color w:val="auto"/>
          <w:sz w:val="28"/>
          <w:szCs w:val="28"/>
          <w:lang w:eastAsia="zh-CN"/>
        </w:rPr>
        <w:fldChar w:fldCharType="begin"/>
      </w:r>
      <w:r>
        <w:rPr>
          <w:rFonts w:hint="eastAsia" w:ascii="仿宋_GB2312" w:hAnsi="仿宋_GB2312" w:eastAsia="仿宋_GB2312" w:cs="仿宋_GB2312"/>
          <w:color w:val="auto"/>
          <w:sz w:val="28"/>
          <w:szCs w:val="28"/>
          <w:lang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color w:val="auto"/>
          <w:sz w:val="28"/>
          <w:szCs w:val="28"/>
          <w:lang w:eastAsia="zh-CN"/>
        </w:rPr>
        <w:fldChar w:fldCharType="separate"/>
      </w:r>
      <w:r>
        <w:rPr>
          <w:rFonts w:hint="eastAsia" w:ascii="仿宋_GB2312" w:hAnsi="仿宋_GB2312" w:eastAsia="仿宋_GB2312" w:cs="仿宋_GB2312"/>
          <w:color w:val="auto"/>
          <w:sz w:val="28"/>
          <w:szCs w:val="28"/>
          <w:lang w:eastAsia="zh-CN"/>
        </w:rPr>
        <w:t>不可抗力</w:t>
      </w:r>
      <w:r>
        <w:rPr>
          <w:rFonts w:hint="eastAsia" w:ascii="仿宋_GB2312" w:hAnsi="仿宋_GB2312" w:eastAsia="仿宋_GB2312" w:cs="仿宋_GB2312"/>
          <w:color w:val="auto"/>
          <w:sz w:val="28"/>
          <w:szCs w:val="28"/>
          <w:lang w:eastAsia="zh-CN"/>
        </w:rPr>
        <w:fldChar w:fldCharType="end"/>
      </w:r>
      <w:r>
        <w:rPr>
          <w:rFonts w:hint="eastAsia" w:ascii="仿宋_GB2312" w:hAnsi="仿宋_GB2312" w:eastAsia="仿宋_GB2312" w:cs="仿宋_GB2312"/>
          <w:color w:val="auto"/>
          <w:sz w:val="28"/>
          <w:szCs w:val="28"/>
          <w:lang w:eastAsia="zh-CN"/>
        </w:rPr>
        <w:t>原因不能履行合同时，应及时向对</w:t>
      </w:r>
      <w:r>
        <w:rPr>
          <w:rFonts w:hint="eastAsia" w:ascii="仿宋_GB2312" w:hAnsi="仿宋_GB2312" w:eastAsia="仿宋_GB2312" w:cs="仿宋_GB2312"/>
          <w:color w:val="auto"/>
          <w:sz w:val="28"/>
          <w:szCs w:val="28"/>
          <w:lang w:eastAsia="zh-CN"/>
        </w:rPr>
        <w:fldChar w:fldCharType="begin"/>
      </w:r>
      <w:r>
        <w:rPr>
          <w:rFonts w:hint="eastAsia" w:ascii="仿宋_GB2312" w:hAnsi="仿宋_GB2312" w:eastAsia="仿宋_GB2312" w:cs="仿宋_GB2312"/>
          <w:color w:val="auto"/>
          <w:sz w:val="28"/>
          <w:szCs w:val="28"/>
          <w:lang w:eastAsia="zh-CN"/>
        </w:rPr>
        <w:instrText xml:space="preserve">HYPERLINK "http://set2.mail.qq.com/cgi-bin/mail_spam?action=check_link&amp;spam=0&amp;url=http%3A%2F%2Fwww%2Ebaidu%2Ecom%2Fs%3Fwd%3D%25E6%2596%25B9%25E9%2580%259A%26hl_tag%3Dtextlink%26tn%3DSE_hldp01350_v6v6zkg6"</w:instrText>
      </w:r>
      <w:r>
        <w:rPr>
          <w:rFonts w:hint="eastAsia" w:ascii="仿宋_GB2312" w:hAnsi="仿宋_GB2312" w:eastAsia="仿宋_GB2312" w:cs="仿宋_GB2312"/>
          <w:color w:val="auto"/>
          <w:sz w:val="28"/>
          <w:szCs w:val="28"/>
          <w:lang w:eastAsia="zh-CN"/>
        </w:rPr>
        <w:fldChar w:fldCharType="separate"/>
      </w:r>
      <w:r>
        <w:rPr>
          <w:rFonts w:hint="eastAsia" w:ascii="仿宋_GB2312" w:hAnsi="仿宋_GB2312" w:eastAsia="仿宋_GB2312" w:cs="仿宋_GB2312"/>
          <w:color w:val="auto"/>
          <w:sz w:val="28"/>
          <w:szCs w:val="28"/>
          <w:lang w:eastAsia="zh-CN"/>
        </w:rPr>
        <w:t>方通</w:t>
      </w:r>
      <w:r>
        <w:rPr>
          <w:rFonts w:hint="eastAsia" w:ascii="仿宋_GB2312" w:hAnsi="仿宋_GB2312" w:eastAsia="仿宋_GB2312" w:cs="仿宋_GB2312"/>
          <w:color w:val="auto"/>
          <w:sz w:val="28"/>
          <w:szCs w:val="28"/>
          <w:lang w:eastAsia="zh-CN"/>
        </w:rPr>
        <w:fldChar w:fldCharType="end"/>
      </w:r>
      <w:r>
        <w:rPr>
          <w:rFonts w:hint="eastAsia" w:ascii="仿宋_GB2312" w:hAnsi="仿宋_GB2312" w:eastAsia="仿宋_GB2312" w:cs="仿宋_GB2312"/>
          <w:color w:val="auto"/>
          <w:sz w:val="28"/>
          <w:szCs w:val="28"/>
          <w:lang w:eastAsia="zh-CN"/>
        </w:rPr>
        <w:t>报不能履行或不能完全履行的理由，以减轻可能给对方造成的损失，在取得有关机构证明后，允许延期履行、部分履行或不履行合同，并根据情况可部分或全部免予承担</w:t>
      </w:r>
      <w:r>
        <w:rPr>
          <w:rFonts w:hint="eastAsia" w:ascii="仿宋_GB2312" w:hAnsi="仿宋_GB2312" w:eastAsia="仿宋_GB2312" w:cs="仿宋_GB2312"/>
          <w:color w:val="auto"/>
          <w:sz w:val="28"/>
          <w:szCs w:val="28"/>
          <w:lang w:eastAsia="zh-CN"/>
        </w:rPr>
        <w:fldChar w:fldCharType="begin"/>
      </w:r>
      <w:r>
        <w:rPr>
          <w:rFonts w:hint="eastAsia" w:ascii="仿宋_GB2312" w:hAnsi="仿宋_GB2312" w:eastAsia="仿宋_GB2312" w:cs="仿宋_GB2312"/>
          <w:color w:val="auto"/>
          <w:sz w:val="28"/>
          <w:szCs w:val="28"/>
          <w:lang w:eastAsia="zh-CN"/>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_GB2312" w:hAnsi="仿宋_GB2312" w:eastAsia="仿宋_GB2312" w:cs="仿宋_GB2312"/>
          <w:color w:val="auto"/>
          <w:sz w:val="28"/>
          <w:szCs w:val="28"/>
          <w:lang w:eastAsia="zh-CN"/>
        </w:rPr>
        <w:fldChar w:fldCharType="separate"/>
      </w:r>
      <w:r>
        <w:rPr>
          <w:rFonts w:hint="eastAsia" w:ascii="仿宋_GB2312" w:hAnsi="仿宋_GB2312" w:eastAsia="仿宋_GB2312" w:cs="仿宋_GB2312"/>
          <w:color w:val="auto"/>
          <w:sz w:val="28"/>
          <w:szCs w:val="28"/>
          <w:lang w:eastAsia="zh-CN"/>
        </w:rPr>
        <w:t>违约责任</w:t>
      </w:r>
      <w:r>
        <w:rPr>
          <w:rFonts w:hint="eastAsia" w:ascii="仿宋_GB2312" w:hAnsi="仿宋_GB2312" w:eastAsia="仿宋_GB2312" w:cs="仿宋_GB2312"/>
          <w:color w:val="auto"/>
          <w:sz w:val="28"/>
          <w:szCs w:val="28"/>
          <w:lang w:eastAsia="zh-CN"/>
        </w:rPr>
        <w:fldChar w:fldCharType="end"/>
      </w:r>
      <w:r>
        <w:rPr>
          <w:rFonts w:hint="eastAsia" w:ascii="仿宋_GB2312" w:hAnsi="仿宋_GB2312" w:eastAsia="仿宋_GB2312" w:cs="仿宋_GB2312"/>
          <w:color w:val="auto"/>
          <w:sz w:val="28"/>
          <w:szCs w:val="28"/>
          <w:lang w:eastAsia="zh-CN"/>
        </w:rPr>
        <w:t>。</w:t>
      </w:r>
    </w:p>
    <w:p w14:paraId="7BE02346">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2" w:firstLineChars="200"/>
        <w:jc w:val="both"/>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十</w:t>
      </w:r>
      <w:r>
        <w:rPr>
          <w:rFonts w:hint="eastAsia" w:ascii="仿宋" w:hAnsi="仿宋" w:eastAsia="仿宋" w:cs="仿宋"/>
          <w:b/>
          <w:bCs/>
          <w:color w:val="auto"/>
          <w:kern w:val="0"/>
          <w:sz w:val="28"/>
          <w:szCs w:val="28"/>
          <w:highlight w:val="none"/>
          <w:lang w:val="en-US" w:eastAsia="zh-CN"/>
        </w:rPr>
        <w:t>二</w:t>
      </w:r>
      <w:r>
        <w:rPr>
          <w:rFonts w:hint="eastAsia" w:ascii="仿宋" w:hAnsi="仿宋" w:eastAsia="仿宋" w:cs="仿宋"/>
          <w:b/>
          <w:bCs/>
          <w:color w:val="auto"/>
          <w:kern w:val="0"/>
          <w:sz w:val="28"/>
          <w:szCs w:val="28"/>
          <w:highlight w:val="none"/>
        </w:rPr>
        <w:t>、</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kern w:val="0"/>
          <w:sz w:val="28"/>
          <w:szCs w:val="28"/>
          <w:highlight w:val="none"/>
        </w:rPr>
        <w:t>无效合同</w:t>
      </w:r>
      <w:r>
        <w:rPr>
          <w:rFonts w:hint="eastAsia" w:ascii="仿宋" w:hAnsi="仿宋" w:eastAsia="仿宋" w:cs="仿宋"/>
          <w:b/>
          <w:bCs/>
          <w:color w:val="auto"/>
          <w:kern w:val="0"/>
          <w:sz w:val="28"/>
          <w:szCs w:val="28"/>
          <w:highlight w:val="none"/>
        </w:rPr>
        <w:fldChar w:fldCharType="end"/>
      </w:r>
    </w:p>
    <w:p w14:paraId="30D42AFA">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b/>
          <w:color w:val="auto"/>
          <w:sz w:val="28"/>
          <w:szCs w:val="28"/>
          <w:highlight w:val="none"/>
        </w:rPr>
      </w:pPr>
      <w:r>
        <w:rPr>
          <w:rFonts w:hint="eastAsia" w:ascii="仿宋" w:hAnsi="仿宋" w:eastAsia="仿宋" w:cs="仿宋"/>
          <w:color w:val="auto"/>
          <w:kern w:val="0"/>
          <w:sz w:val="28"/>
          <w:szCs w:val="28"/>
          <w:highlight w:val="none"/>
        </w:rPr>
        <w:t>甲乙双方如因违反政府采购法及相关法律法规的规定，被宣告</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合同无效</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的，一切责任概由过错方自行承担。</w:t>
      </w:r>
    </w:p>
    <w:p w14:paraId="041421C2">
      <w:pPr>
        <w:keepNext w:val="0"/>
        <w:keepLines w:val="0"/>
        <w:pageBreakBefore w:val="0"/>
        <w:widowControl w:val="0"/>
        <w:kinsoku/>
        <w:wordWrap/>
        <w:overflowPunct w:val="0"/>
        <w:topLinePunct w:val="0"/>
        <w:bidi w:val="0"/>
        <w:adjustRightInd w:val="0"/>
        <w:spacing w:line="520" w:lineRule="exact"/>
        <w:ind w:left="0" w:right="0" w:rightChars="0" w:firstLine="562" w:firstLineChars="200"/>
        <w:jc w:val="both"/>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val="en-US" w:eastAsia="zh-CN"/>
        </w:rPr>
        <w:t>十三、</w:t>
      </w:r>
      <w:r>
        <w:rPr>
          <w:rFonts w:hint="eastAsia" w:ascii="仿宋" w:hAnsi="仿宋" w:eastAsia="仿宋" w:cs="仿宋"/>
          <w:b/>
          <w:bCs w:val="0"/>
          <w:color w:val="auto"/>
          <w:sz w:val="28"/>
          <w:szCs w:val="28"/>
          <w:highlight w:val="none"/>
        </w:rPr>
        <w:t>监督和管理</w:t>
      </w:r>
    </w:p>
    <w:p w14:paraId="71802E09">
      <w:pPr>
        <w:keepNext w:val="0"/>
        <w:keepLines w:val="0"/>
        <w:pageBreakBefore w:val="0"/>
        <w:kinsoku/>
        <w:wordWrap/>
        <w:overflowPunct/>
        <w:topLinePunct w:val="0"/>
        <w:bidi w:val="0"/>
        <w:adjustRightInd/>
        <w:spacing w:line="520" w:lineRule="exact"/>
        <w:ind w:left="0" w:right="0" w:rightChars="0"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CE51367">
      <w:pPr>
        <w:keepNext w:val="0"/>
        <w:keepLines w:val="0"/>
        <w:pageBreakBefore w:val="0"/>
        <w:kinsoku/>
        <w:wordWrap/>
        <w:overflowPunct/>
        <w:topLinePunct w:val="0"/>
        <w:bidi w:val="0"/>
        <w:adjustRightInd/>
        <w:spacing w:line="520" w:lineRule="exact"/>
        <w:ind w:left="0" w:right="0" w:rightChars="0"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2.甲乙双方均应自觉配合有关监督管理部门对</w:t>
      </w:r>
      <w:r>
        <w:rPr>
          <w:rFonts w:hint="eastAsia" w:ascii="仿宋_GB2312" w:hAnsi="仿宋_GB2312" w:eastAsia="仿宋_GB2312" w:cs="仿宋_GB2312"/>
          <w:color w:val="auto"/>
          <w:sz w:val="28"/>
          <w:szCs w:val="28"/>
          <w:lang w:eastAsia="zh-CN"/>
        </w:rPr>
        <w:fldChar w:fldCharType="begin"/>
      </w:r>
      <w:r>
        <w:rPr>
          <w:rFonts w:hint="eastAsia" w:ascii="仿宋_GB2312" w:hAnsi="仿宋_GB2312" w:eastAsia="仿宋_GB2312" w:cs="仿宋_GB2312"/>
          <w:color w:val="auto"/>
          <w:sz w:val="28"/>
          <w:szCs w:val="28"/>
          <w:lang w:eastAsia="zh-CN"/>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_GB2312" w:hAnsi="仿宋_GB2312" w:eastAsia="仿宋_GB2312" w:cs="仿宋_GB2312"/>
          <w:color w:val="auto"/>
          <w:sz w:val="28"/>
          <w:szCs w:val="28"/>
          <w:lang w:eastAsia="zh-CN"/>
        </w:rPr>
        <w:fldChar w:fldCharType="separate"/>
      </w:r>
      <w:r>
        <w:rPr>
          <w:rFonts w:hint="eastAsia" w:ascii="仿宋_GB2312" w:hAnsi="仿宋_GB2312" w:eastAsia="仿宋_GB2312" w:cs="仿宋_GB2312"/>
          <w:color w:val="auto"/>
          <w:sz w:val="28"/>
          <w:szCs w:val="28"/>
          <w:lang w:eastAsia="zh-CN"/>
        </w:rPr>
        <w:t>合同履行</w:t>
      </w:r>
      <w:r>
        <w:rPr>
          <w:rFonts w:hint="eastAsia" w:ascii="仿宋_GB2312" w:hAnsi="仿宋_GB2312" w:eastAsia="仿宋_GB2312" w:cs="仿宋_GB2312"/>
          <w:color w:val="auto"/>
          <w:sz w:val="28"/>
          <w:szCs w:val="28"/>
          <w:lang w:eastAsia="zh-CN"/>
        </w:rPr>
        <w:fldChar w:fldCharType="end"/>
      </w:r>
      <w:r>
        <w:rPr>
          <w:rFonts w:hint="eastAsia" w:ascii="仿宋_GB2312" w:hAnsi="仿宋_GB2312" w:eastAsia="仿宋_GB2312" w:cs="仿宋_GB2312"/>
          <w:color w:val="auto"/>
          <w:sz w:val="28"/>
          <w:szCs w:val="28"/>
          <w:lang w:eastAsia="zh-CN"/>
        </w:rPr>
        <w:t>情况的监督检查，如实反映情况，提供有关资料；否则，将对有关单位、当事人按照有关规定予以处罚。</w:t>
      </w:r>
    </w:p>
    <w:p w14:paraId="7E57B5E2">
      <w:pPr>
        <w:keepNext w:val="0"/>
        <w:keepLines w:val="0"/>
        <w:pageBreakBefore w:val="0"/>
        <w:kinsoku/>
        <w:wordWrap/>
        <w:overflowPunct w:val="0"/>
        <w:topLinePunct w:val="0"/>
        <w:bidi w:val="0"/>
        <w:adjustRightInd w:val="0"/>
        <w:spacing w:line="520" w:lineRule="exact"/>
        <w:ind w:left="0" w:right="0" w:rightChars="0" w:firstLine="562" w:firstLineChars="20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十四、</w:t>
      </w:r>
      <w:r>
        <w:rPr>
          <w:rFonts w:hint="eastAsia" w:ascii="仿宋" w:hAnsi="仿宋" w:eastAsia="仿宋" w:cs="仿宋"/>
          <w:b/>
          <w:bCs/>
          <w:color w:val="auto"/>
          <w:sz w:val="28"/>
          <w:szCs w:val="28"/>
          <w:highlight w:val="none"/>
        </w:rPr>
        <w:t xml:space="preserve"> 信用融资（如有）</w:t>
      </w:r>
    </w:p>
    <w:p w14:paraId="5C944328">
      <w:pPr>
        <w:pStyle w:val="5"/>
        <w:keepNext w:val="0"/>
        <w:keepLines w:val="0"/>
        <w:pageBreakBefore w:val="0"/>
        <w:widowControl/>
        <w:wordWrap/>
        <w:topLinePunct w:val="0"/>
        <w:bidi w:val="0"/>
        <w:spacing w:line="520" w:lineRule="exact"/>
        <w:ind w:left="0" w:right="0" w:rightChars="0" w:firstLine="560" w:firstLineChars="200"/>
        <w:jc w:val="left"/>
        <w:rPr>
          <w:rFonts w:hint="eastAsia" w:ascii="仿宋_GB2312" w:hAnsi="仿宋_GB2312" w:eastAsia="仿宋_GB2312" w:cs="仿宋_GB2312"/>
          <w:b w:val="0"/>
          <w:bCs w:val="0"/>
          <w:snapToGrid w:val="0"/>
          <w:color w:val="auto"/>
          <w:sz w:val="28"/>
          <w:szCs w:val="28"/>
          <w:u w:val="single"/>
        </w:rPr>
      </w:pPr>
      <w:r>
        <w:rPr>
          <w:rFonts w:hint="eastAsia" w:ascii="仿宋_GB2312" w:hAnsi="仿宋_GB2312" w:eastAsia="仿宋_GB2312" w:cs="仿宋_GB2312"/>
          <w:b w:val="0"/>
          <w:bCs w:val="0"/>
          <w:snapToGrid w:val="0"/>
          <w:color w:val="auto"/>
          <w:kern w:val="0"/>
          <w:sz w:val="28"/>
          <w:szCs w:val="28"/>
        </w:rPr>
        <w:t>银行名称：</w:t>
      </w:r>
      <w:r>
        <w:rPr>
          <w:rFonts w:hint="eastAsia" w:ascii="仿宋_GB2312" w:hAnsi="仿宋_GB2312" w:eastAsia="仿宋_GB2312" w:cs="仿宋_GB2312"/>
          <w:b w:val="0"/>
          <w:bCs w:val="0"/>
          <w:snapToGrid w:val="0"/>
          <w:color w:val="auto"/>
          <w:kern w:val="0"/>
          <w:sz w:val="28"/>
          <w:szCs w:val="28"/>
          <w:u w:val="single"/>
        </w:rPr>
        <w:t xml:space="preserve">          </w:t>
      </w:r>
      <w:r>
        <w:rPr>
          <w:rFonts w:hint="eastAsia" w:ascii="仿宋_GB2312" w:hAnsi="仿宋_GB2312" w:eastAsia="仿宋_GB2312" w:cs="仿宋_GB2312"/>
          <w:b w:val="0"/>
          <w:bCs w:val="0"/>
          <w:snapToGrid w:val="0"/>
          <w:color w:val="auto"/>
          <w:kern w:val="0"/>
          <w:sz w:val="28"/>
          <w:szCs w:val="28"/>
        </w:rPr>
        <w:t xml:space="preserve"> ，收款账号：</w:t>
      </w:r>
      <w:r>
        <w:rPr>
          <w:rFonts w:hint="eastAsia" w:ascii="仿宋_GB2312" w:hAnsi="仿宋_GB2312" w:eastAsia="仿宋_GB2312" w:cs="仿宋_GB2312"/>
          <w:b w:val="0"/>
          <w:bCs w:val="0"/>
          <w:snapToGrid w:val="0"/>
          <w:color w:val="auto"/>
          <w:kern w:val="0"/>
          <w:sz w:val="28"/>
          <w:szCs w:val="28"/>
          <w:u w:val="single"/>
        </w:rPr>
        <w:t xml:space="preserve">        </w:t>
      </w:r>
    </w:p>
    <w:p w14:paraId="4288C7F5">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2" w:firstLineChars="200"/>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w:t>
      </w:r>
      <w:r>
        <w:rPr>
          <w:rFonts w:hint="eastAsia" w:ascii="仿宋" w:hAnsi="仿宋" w:eastAsia="仿宋" w:cs="仿宋"/>
          <w:b/>
          <w:color w:val="auto"/>
          <w:sz w:val="28"/>
          <w:szCs w:val="28"/>
          <w:highlight w:val="none"/>
          <w:lang w:val="en-US" w:eastAsia="zh-CN"/>
        </w:rPr>
        <w:t>五</w:t>
      </w:r>
      <w:r>
        <w:rPr>
          <w:rFonts w:hint="eastAsia" w:ascii="仿宋" w:hAnsi="仿宋" w:eastAsia="仿宋" w:cs="仿宋"/>
          <w:b/>
          <w:color w:val="auto"/>
          <w:sz w:val="28"/>
          <w:szCs w:val="28"/>
          <w:highlight w:val="none"/>
        </w:rPr>
        <w:t>、合同生效</w:t>
      </w:r>
    </w:p>
    <w:p w14:paraId="42B87C3B">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（一）本合同须经甲、乙双方的法定代表人（授权代表）在合同书上签字并加盖本单位公章后正式生效。</w:t>
      </w:r>
    </w:p>
    <w:p w14:paraId="511000D0">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（二）合同生效后，甲、乙双方须严格执行本合同条款的规定，全面履行合同，违者按《中华人民共和国民法典》的有关规定承担相应责任。</w:t>
      </w:r>
    </w:p>
    <w:p w14:paraId="5D90CC51">
      <w:pPr>
        <w:keepNext w:val="0"/>
        <w:keepLines w:val="0"/>
        <w:pageBreakBefore w:val="0"/>
        <w:widowControl w:val="0"/>
        <w:kinsoku/>
        <w:wordWrap/>
        <w:overflowPunct w:val="0"/>
        <w:topLinePunct w:val="0"/>
        <w:autoSpaceDE w:val="0"/>
        <w:autoSpaceDN w:val="0"/>
        <w:bidi w:val="0"/>
        <w:adjustRightInd w:val="0"/>
        <w:snapToGrid w:val="0"/>
        <w:spacing w:line="520" w:lineRule="exact"/>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（三）本合同一式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份，甲乙双方各执</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份。政府采购代理机构两份。</w:t>
      </w:r>
    </w:p>
    <w:p w14:paraId="2AFD5C8C">
      <w:pPr>
        <w:keepNext w:val="0"/>
        <w:keepLines w:val="0"/>
        <w:pageBreakBefore w:val="0"/>
        <w:widowControl w:val="0"/>
        <w:kinsoku/>
        <w:wordWrap/>
        <w:overflowPunct w:val="0"/>
        <w:topLinePunct w:val="0"/>
        <w:autoSpaceDE w:val="0"/>
        <w:autoSpaceDN w:val="0"/>
        <w:bidi w:val="0"/>
        <w:adjustRightInd w:val="0"/>
        <w:spacing w:line="520" w:lineRule="exact"/>
        <w:ind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（四）本合同如有未尽事宜，甲、乙双方协商解决。</w:t>
      </w:r>
    </w:p>
    <w:p w14:paraId="77D2FD7E">
      <w:pPr>
        <w:pStyle w:val="3"/>
        <w:keepNext w:val="0"/>
        <w:keepLines w:val="0"/>
        <w:pageBreakBefore w:val="0"/>
        <w:widowControl w:val="0"/>
        <w:kinsoku/>
        <w:wordWrap/>
        <w:overflowPunct w:val="0"/>
        <w:topLinePunct w:val="0"/>
        <w:autoSpaceDE w:val="0"/>
        <w:autoSpaceDN w:val="0"/>
        <w:bidi w:val="0"/>
        <w:adjustRightInd w:val="0"/>
        <w:spacing w:line="520" w:lineRule="exact"/>
        <w:ind w:left="0" w:right="0" w:rightChars="0"/>
        <w:rPr>
          <w:rFonts w:hint="eastAsia"/>
          <w:color w:val="auto"/>
          <w:highlight w:val="none"/>
        </w:rPr>
      </w:pPr>
    </w:p>
    <w:p w14:paraId="4BD62FE8">
      <w:pPr>
        <w:pStyle w:val="3"/>
        <w:keepNext w:val="0"/>
        <w:keepLines w:val="0"/>
        <w:pageBreakBefore w:val="0"/>
        <w:widowControl w:val="0"/>
        <w:kinsoku/>
        <w:wordWrap/>
        <w:overflowPunct w:val="0"/>
        <w:topLinePunct w:val="0"/>
        <w:autoSpaceDE w:val="0"/>
        <w:autoSpaceDN w:val="0"/>
        <w:bidi w:val="0"/>
        <w:adjustRightInd w:val="0"/>
        <w:spacing w:line="520" w:lineRule="exact"/>
        <w:ind w:left="0" w:right="0" w:rightChars="0"/>
        <w:rPr>
          <w:rFonts w:hint="eastAsia"/>
          <w:color w:val="auto"/>
          <w:highlight w:val="none"/>
        </w:rPr>
      </w:pPr>
    </w:p>
    <w:p w14:paraId="258C4186">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采购人(甲方)：        （公章）  供应商(乙方)：      （公章）</w:t>
      </w:r>
    </w:p>
    <w:p w14:paraId="6BF767F7">
      <w:pPr>
        <w:keepNext w:val="0"/>
        <w:keepLines w:val="0"/>
        <w:pageBreakBefore w:val="0"/>
        <w:kinsoku/>
        <w:wordWrap/>
        <w:overflowPunct w:val="0"/>
        <w:topLinePunct w:val="0"/>
        <w:bidi w:val="0"/>
        <w:spacing w:line="520" w:lineRule="exact"/>
        <w:ind w:left="0" w:right="0" w:rightChars="0"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p>
    <w:p w14:paraId="403B9E3C">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（签字或盖章）或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（签字或盖章）</w:t>
      </w:r>
    </w:p>
    <w:p w14:paraId="0BC7943E">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w:t>
      </w:r>
    </w:p>
    <w:p w14:paraId="7EAD2C95">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                    账    号：               .</w:t>
      </w:r>
    </w:p>
    <w:p w14:paraId="5ABD8348">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                    电    话：               .</w:t>
      </w:r>
    </w:p>
    <w:p w14:paraId="35ECC0EE">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                    地    址：                .</w:t>
      </w:r>
    </w:p>
    <w:p w14:paraId="20C6AC44">
      <w:pPr>
        <w:keepNext w:val="0"/>
        <w:keepLines w:val="0"/>
        <w:pageBreakBefore w:val="0"/>
        <w:kinsoku/>
        <w:wordWrap/>
        <w:overflowPunct w:val="0"/>
        <w:topLinePunct w:val="0"/>
        <w:bidi w:val="0"/>
        <w:spacing w:line="520" w:lineRule="exact"/>
        <w:ind w:left="0" w:right="0" w:rightChars="0" w:firstLine="280" w:firstLineChars="100"/>
        <w:rPr>
          <w:rFonts w:hint="eastAsia"/>
          <w:color w:val="auto"/>
          <w:lang w:val="en-US" w:eastAsia="zh-Hans"/>
        </w:rPr>
      </w:pPr>
      <w:r>
        <w:rPr>
          <w:rFonts w:hint="eastAsia" w:ascii="仿宋" w:hAnsi="仿宋" w:eastAsia="仿宋" w:cs="仿宋"/>
          <w:color w:val="auto"/>
          <w:sz w:val="28"/>
          <w:szCs w:val="28"/>
          <w:highlight w:val="none"/>
        </w:rPr>
        <w:t>时    间：  年月日        时    间： 年月日</w:t>
      </w:r>
    </w:p>
    <w:p w14:paraId="50E1393D">
      <w:bookmarkStart w:id="0" w:name="_GoBack"/>
      <w:bookmarkEnd w:id="0"/>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07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pPr>
      <w:jc w:val="center"/>
    </w:pPr>
    <w:rPr>
      <w:rFonts w:ascii="仿宋" w:hAnsi="仿宋" w:eastAsia="仿宋" w:cs="仿宋"/>
      <w:b/>
      <w:bCs/>
      <w:sz w:val="32"/>
      <w:szCs w:val="44"/>
      <w:lang w:eastAsia="zh-CN"/>
    </w:rPr>
  </w:style>
  <w:style w:type="paragraph" w:styleId="3">
    <w:name w:val="Normal Indent"/>
    <w:basedOn w:val="1"/>
    <w:qFormat/>
    <w:uiPriority w:val="0"/>
    <w:pPr>
      <w:ind w:firstLine="420"/>
    </w:pPr>
  </w:style>
  <w:style w:type="paragraph" w:styleId="4">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5">
    <w:name w:val="Body Text First Indent"/>
    <w:basedOn w:val="2"/>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2026-04-17T07:59:25Z</dcterms:created>
  <dc:creator>Administrator</dc:creator>
  <cp:lastModifiedBy>七安</cp:lastModifiedBy>
  <dcterms:modified xsi:type="dcterms:W3CDTF">2026-04-17T07:59:33Z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31402E1A585F4434999C174889C3994E_12</vt:lpwstr>
  </property>
</Properties>
</file>