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1E0E">
      <w:pPr>
        <w:pStyle w:val="2"/>
        <w:pageBreakBefore w:val="0"/>
        <w:wordWrap/>
        <w:topLinePunct w:val="0"/>
        <w:bidi w:val="0"/>
        <w:spacing w:line="520" w:lineRule="exact"/>
        <w:rPr>
          <w:rFonts w:hint="eastAsia" w:eastAsia="仿宋"/>
          <w:color w:val="auto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lang w:val="en-US" w:eastAsia="zh-CN"/>
        </w:rPr>
        <w:t>最终</w:t>
      </w:r>
      <w:r>
        <w:rPr>
          <w:rFonts w:hint="eastAsia"/>
          <w:color w:val="auto"/>
        </w:rPr>
        <w:t>分项报价表</w:t>
      </w:r>
      <w:r>
        <w:rPr>
          <w:rFonts w:hint="eastAsia"/>
          <w:color w:val="auto"/>
          <w:lang w:val="en-US" w:eastAsia="zh-CN"/>
        </w:rPr>
        <w:t>-格式</w:t>
      </w:r>
    </w:p>
    <w:p w14:paraId="140B754E">
      <w:pPr>
        <w:pStyle w:val="5"/>
        <w:pageBreakBefore w:val="0"/>
        <w:wordWrap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 </w:t>
      </w:r>
    </w:p>
    <w:p w14:paraId="356B54CE">
      <w:pPr>
        <w:pStyle w:val="5"/>
        <w:pageBreakBefore w:val="0"/>
        <w:wordWrap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 </w:t>
      </w:r>
    </w:p>
    <w:tbl>
      <w:tblPr>
        <w:tblStyle w:val="3"/>
        <w:tblpPr w:leftFromText="180" w:rightFromText="180" w:vertAnchor="text" w:horzAnchor="page" w:tblpXSpec="center" w:tblpY="464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586"/>
        <w:gridCol w:w="1328"/>
        <w:gridCol w:w="2189"/>
        <w:gridCol w:w="733"/>
        <w:gridCol w:w="954"/>
      </w:tblGrid>
      <w:tr w14:paraId="0DD1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8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B084B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718B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en-US" w:eastAsia="zh-CN"/>
              </w:rPr>
              <w:t>清单项目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8FD0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工作量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0407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1A87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小计</w:t>
            </w:r>
          </w:p>
          <w:p w14:paraId="441A009F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605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备注</w:t>
            </w:r>
          </w:p>
        </w:tc>
      </w:tr>
      <w:tr w14:paraId="61079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8DE01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1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3F14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人工（一年）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D02A4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125人次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42AE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元/人/天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9BE2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A706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0609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F045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2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DE287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清运车次（容量8方）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41BD3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550车次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6C73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元/车次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37F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5F4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782B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88E8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26B17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装载机(型号30#)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FA0F2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35台班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1CDD9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元/台班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1ADF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57E1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22613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9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3509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合计（元）</w:t>
            </w:r>
          </w:p>
        </w:tc>
        <w:tc>
          <w:tcPr>
            <w:tcW w:w="305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AF5AC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</w:tbl>
    <w:p w14:paraId="06B43295">
      <w:pPr>
        <w:pStyle w:val="5"/>
        <w:pageBreakBefore w:val="0"/>
        <w:wordWrap/>
        <w:topLinePunct w:val="0"/>
        <w:bidi w:val="0"/>
        <w:spacing w:line="520" w:lineRule="exac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</w:pPr>
    </w:p>
    <w:p w14:paraId="550544B3">
      <w:pPr>
        <w:pStyle w:val="5"/>
        <w:pageBreakBefore w:val="0"/>
        <w:wordWrap/>
        <w:topLinePunct w:val="0"/>
        <w:bidi w:val="0"/>
        <w:spacing w:line="520" w:lineRule="exac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>注：1、本表合计金额须与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报价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>一览表中磋商报价金额一致。</w:t>
      </w:r>
    </w:p>
    <w:p w14:paraId="79E3866A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2、本工作量为暂定数量，最终以实际工作量及成交单价据实结算为准。</w:t>
      </w:r>
    </w:p>
    <w:p w14:paraId="4FFF7619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3、各供应商报价不得超过最高限价及各分项限价，否则其响应文件将按无效处理。</w:t>
      </w:r>
    </w:p>
    <w:p w14:paraId="3E662C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21641"/>
    <w:rsid w:val="7030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195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2026-04-17T08:00:00Z</dcterms:created>
  <dc:creator>Administrator</dc:creator>
  <cp:lastModifiedBy>七安</cp:lastModifiedBy>
  <dcterms:modified xsi:type="dcterms:W3CDTF">2026-04-17T08:56:39Z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B5AEFE5C416E435BB6C832FEE379CF97_12</vt:lpwstr>
  </property>
</Properties>
</file>