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2AEC7">
      <w:pPr>
        <w:spacing w:line="360" w:lineRule="auto"/>
        <w:jc w:val="center"/>
        <w:rPr>
          <w:rFonts w:hint="eastAsia" w:cstheme="minorBidi"/>
          <w:b/>
          <w:bCs/>
          <w:sz w:val="40"/>
          <w:szCs w:val="40"/>
          <w:lang w:val="en-US" w:eastAsia="zh-CN"/>
        </w:rPr>
      </w:pPr>
    </w:p>
    <w:p w14:paraId="000FDFC9">
      <w:pPr>
        <w:spacing w:line="360" w:lineRule="auto"/>
        <w:jc w:val="center"/>
        <w:rPr>
          <w:rFonts w:hint="eastAsia" w:cstheme="minorBidi"/>
          <w:b/>
          <w:bCs/>
          <w:sz w:val="40"/>
          <w:szCs w:val="40"/>
          <w:lang w:val="en-US" w:eastAsia="zh-CN"/>
        </w:rPr>
      </w:pPr>
    </w:p>
    <w:p w14:paraId="48BD0576">
      <w:pPr>
        <w:spacing w:line="360" w:lineRule="auto"/>
        <w:jc w:val="center"/>
        <w:rPr>
          <w:rFonts w:hint="eastAsia" w:cstheme="minorBidi"/>
          <w:b/>
          <w:bCs/>
          <w:sz w:val="40"/>
          <w:szCs w:val="40"/>
          <w:lang w:val="en-US" w:eastAsia="zh-CN"/>
        </w:rPr>
      </w:pPr>
    </w:p>
    <w:p w14:paraId="24600559">
      <w:pPr>
        <w:spacing w:line="360" w:lineRule="auto"/>
        <w:jc w:val="center"/>
        <w:rPr>
          <w:rFonts w:hint="eastAsia" w:cstheme="minorBidi"/>
          <w:b/>
          <w:bCs/>
          <w:sz w:val="40"/>
          <w:szCs w:val="40"/>
          <w:lang w:val="en-US" w:eastAsia="zh-CN"/>
        </w:rPr>
      </w:pPr>
    </w:p>
    <w:p w14:paraId="29A0B5A1">
      <w:pPr>
        <w:spacing w:line="360" w:lineRule="auto"/>
        <w:jc w:val="center"/>
        <w:rPr>
          <w:rFonts w:hint="default" w:asciiTheme="minorHAnsi" w:hAnsiTheme="minorHAnsi" w:eastAsiaTheme="minorEastAsia" w:cstheme="minorBidi"/>
          <w:b/>
          <w:bCs/>
          <w:sz w:val="40"/>
          <w:szCs w:val="40"/>
          <w:lang w:val="en-US" w:eastAsia="zh-Hans"/>
        </w:rPr>
      </w:pPr>
      <w:bookmarkStart w:id="0" w:name="_GoBack"/>
      <w:bookmarkEnd w:id="0"/>
      <w:r>
        <w:rPr>
          <w:rFonts w:hint="eastAsia" w:cstheme="minorBidi"/>
          <w:b/>
          <w:bCs/>
          <w:sz w:val="40"/>
          <w:szCs w:val="40"/>
          <w:lang w:val="en-US" w:eastAsia="zh-CN"/>
        </w:rPr>
        <w:t>西安高新第六幼儿园后勤服务外包项目项目</w:t>
      </w:r>
    </w:p>
    <w:p w14:paraId="51ED2A4D">
      <w:pPr>
        <w:spacing w:line="360" w:lineRule="auto"/>
        <w:jc w:val="center"/>
        <w:rPr>
          <w:rFonts w:asciiTheme="minorHAnsi" w:hAnsiTheme="minorHAnsi" w:eastAsiaTheme="minorEastAsia" w:cstheme="minorBidi"/>
          <w:b/>
          <w:bCs/>
          <w:sz w:val="40"/>
          <w:szCs w:val="40"/>
          <w:lang w:eastAsia="zh-Hans"/>
        </w:rPr>
      </w:pPr>
    </w:p>
    <w:p w14:paraId="5ECA98ED">
      <w:pPr>
        <w:spacing w:line="360" w:lineRule="auto"/>
        <w:jc w:val="center"/>
        <w:rPr>
          <w:rFonts w:asciiTheme="minorHAnsi" w:hAnsiTheme="minorHAnsi" w:eastAsiaTheme="minorEastAsia" w:cstheme="minorBidi"/>
          <w:b/>
          <w:bCs/>
          <w:sz w:val="40"/>
          <w:szCs w:val="40"/>
          <w:lang w:eastAsia="zh-Hans"/>
        </w:rPr>
      </w:pPr>
      <w:r>
        <w:rPr>
          <w:rFonts w:hint="eastAsia" w:asciiTheme="minorHAnsi" w:hAnsiTheme="minorHAnsi" w:eastAsiaTheme="minorEastAsia" w:cstheme="minorBidi"/>
          <w:b/>
          <w:bCs/>
          <w:sz w:val="40"/>
          <w:szCs w:val="40"/>
          <w:lang w:eastAsia="zh-Hans"/>
        </w:rPr>
        <w:t>服 务 合 同</w:t>
      </w:r>
    </w:p>
    <w:p w14:paraId="3E39C10D">
      <w:pPr>
        <w:spacing w:line="360" w:lineRule="auto"/>
        <w:jc w:val="center"/>
        <w:rPr>
          <w:rFonts w:asciiTheme="minorHAnsi" w:hAnsiTheme="minorHAnsi" w:eastAsiaTheme="minorEastAsia" w:cstheme="minorBidi"/>
          <w:b/>
          <w:bCs/>
          <w:sz w:val="21"/>
          <w:szCs w:val="21"/>
          <w:lang w:eastAsia="zh-Hans"/>
        </w:rPr>
      </w:pPr>
    </w:p>
    <w:p w14:paraId="4976F74F">
      <w:pPr>
        <w:spacing w:line="360" w:lineRule="auto"/>
        <w:jc w:val="center"/>
        <w:rPr>
          <w:rFonts w:asciiTheme="minorHAnsi" w:hAnsiTheme="minorHAnsi" w:eastAsiaTheme="minorEastAsia" w:cstheme="minorBidi"/>
          <w:b/>
          <w:bCs/>
          <w:sz w:val="21"/>
          <w:szCs w:val="21"/>
          <w:lang w:eastAsia="zh-Hans"/>
        </w:rPr>
      </w:pPr>
    </w:p>
    <w:p w14:paraId="361EC319">
      <w:pPr>
        <w:spacing w:line="360" w:lineRule="auto"/>
        <w:jc w:val="center"/>
        <w:rPr>
          <w:rFonts w:asciiTheme="minorHAnsi" w:hAnsiTheme="minorHAnsi" w:eastAsiaTheme="minorEastAsia" w:cstheme="minorBidi"/>
          <w:b/>
          <w:bCs/>
          <w:sz w:val="21"/>
          <w:szCs w:val="21"/>
          <w:lang w:eastAsia="zh-Hans"/>
        </w:rPr>
      </w:pPr>
    </w:p>
    <w:p w14:paraId="56BAA318">
      <w:pPr>
        <w:spacing w:line="360" w:lineRule="auto"/>
        <w:jc w:val="center"/>
        <w:rPr>
          <w:rFonts w:asciiTheme="minorHAnsi" w:hAnsiTheme="minorHAnsi" w:eastAsiaTheme="minorEastAsia" w:cstheme="minorBidi"/>
          <w:b/>
          <w:bCs/>
          <w:sz w:val="21"/>
          <w:szCs w:val="21"/>
          <w:lang w:eastAsia="zh-Hans"/>
        </w:rPr>
      </w:pPr>
    </w:p>
    <w:p w14:paraId="66402041">
      <w:pPr>
        <w:spacing w:line="360" w:lineRule="auto"/>
        <w:jc w:val="center"/>
        <w:rPr>
          <w:rFonts w:asciiTheme="minorHAnsi" w:hAnsiTheme="minorHAnsi" w:eastAsiaTheme="minorEastAsia" w:cstheme="minorBidi"/>
          <w:b/>
          <w:bCs/>
          <w:sz w:val="21"/>
          <w:szCs w:val="21"/>
          <w:lang w:eastAsia="zh-Hans"/>
        </w:rPr>
      </w:pPr>
    </w:p>
    <w:p w14:paraId="0C162016">
      <w:pPr>
        <w:spacing w:line="360" w:lineRule="auto"/>
        <w:jc w:val="center"/>
        <w:rPr>
          <w:rFonts w:asciiTheme="minorHAnsi" w:hAnsiTheme="minorHAnsi" w:eastAsiaTheme="minorEastAsia" w:cstheme="minorBidi"/>
          <w:b/>
          <w:bCs/>
          <w:sz w:val="21"/>
          <w:szCs w:val="21"/>
          <w:lang w:eastAsia="zh-Hans"/>
        </w:rPr>
      </w:pPr>
    </w:p>
    <w:p w14:paraId="406FC64F">
      <w:pPr>
        <w:spacing w:line="360" w:lineRule="auto"/>
        <w:jc w:val="center"/>
        <w:rPr>
          <w:rFonts w:asciiTheme="minorHAnsi" w:hAnsiTheme="minorHAnsi" w:eastAsiaTheme="minorEastAsia" w:cstheme="minorBidi"/>
          <w:b/>
          <w:bCs/>
          <w:sz w:val="21"/>
          <w:szCs w:val="21"/>
          <w:lang w:eastAsia="zh-Hans"/>
        </w:rPr>
      </w:pPr>
    </w:p>
    <w:p w14:paraId="3BC7DFA4">
      <w:pPr>
        <w:spacing w:line="360" w:lineRule="auto"/>
        <w:jc w:val="center"/>
        <w:rPr>
          <w:rFonts w:asciiTheme="minorHAnsi" w:hAnsiTheme="minorHAnsi" w:eastAsiaTheme="minorEastAsia" w:cstheme="minorBidi"/>
          <w:b/>
          <w:bCs/>
          <w:sz w:val="21"/>
          <w:szCs w:val="21"/>
          <w:lang w:eastAsia="zh-Hans"/>
        </w:rPr>
      </w:pPr>
    </w:p>
    <w:p w14:paraId="03C0793A">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12ED1E3D">
      <w:pPr>
        <w:spacing w:line="360" w:lineRule="auto"/>
        <w:jc w:val="left"/>
        <w:rPr>
          <w:rFonts w:asciiTheme="minorHAnsi" w:hAnsiTheme="minorHAnsi" w:eastAsiaTheme="minorEastAsia" w:cstheme="minorBidi"/>
          <w:b/>
          <w:bCs/>
          <w:sz w:val="21"/>
          <w:szCs w:val="21"/>
          <w:lang w:eastAsia="zh-Hans"/>
        </w:rPr>
      </w:pPr>
    </w:p>
    <w:p w14:paraId="73D24581">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26C6B95A">
      <w:pPr>
        <w:pStyle w:val="5"/>
        <w:rPr>
          <w:rFonts w:hint="default"/>
        </w:rPr>
      </w:pPr>
    </w:p>
    <w:p w14:paraId="7FDD5504">
      <w:pPr>
        <w:jc w:val="center"/>
        <w:outlineLvl w:val="0"/>
        <w:rPr>
          <w:rFonts w:ascii="Times New Roman" w:eastAsia="仿宋"/>
          <w:b/>
          <w:kern w:val="2"/>
          <w:sz w:val="36"/>
          <w:szCs w:val="24"/>
        </w:rPr>
      </w:pPr>
    </w:p>
    <w:p w14:paraId="2C3FFBF0">
      <w:pPr>
        <w:jc w:val="center"/>
        <w:outlineLvl w:val="0"/>
        <w:rPr>
          <w:rFonts w:ascii="Times New Roman" w:eastAsia="仿宋"/>
          <w:b/>
          <w:kern w:val="2"/>
          <w:sz w:val="36"/>
          <w:szCs w:val="24"/>
        </w:rPr>
      </w:pPr>
    </w:p>
    <w:p w14:paraId="1CBE38EA">
      <w:pPr>
        <w:jc w:val="center"/>
        <w:outlineLvl w:val="0"/>
        <w:rPr>
          <w:rFonts w:ascii="Times New Roman" w:eastAsia="仿宋"/>
          <w:b/>
          <w:kern w:val="2"/>
          <w:sz w:val="36"/>
          <w:szCs w:val="24"/>
        </w:rPr>
      </w:pPr>
    </w:p>
    <w:p w14:paraId="0A509A37">
      <w:pPr>
        <w:jc w:val="center"/>
        <w:outlineLvl w:val="0"/>
        <w:rPr>
          <w:rFonts w:ascii="Times New Roman" w:eastAsia="仿宋"/>
          <w:b/>
          <w:kern w:val="2"/>
          <w:sz w:val="36"/>
          <w:szCs w:val="24"/>
        </w:rPr>
      </w:pPr>
    </w:p>
    <w:p w14:paraId="2F64DF62">
      <w:pPr>
        <w:rPr>
          <w:rFonts w:ascii="Times New Roman" w:eastAsia="仿宋"/>
          <w:b/>
          <w:kern w:val="2"/>
          <w:sz w:val="36"/>
          <w:szCs w:val="24"/>
        </w:rPr>
      </w:pPr>
      <w:r>
        <w:rPr>
          <w:rFonts w:ascii="Times New Roman" w:eastAsia="仿宋"/>
          <w:b/>
          <w:kern w:val="2"/>
          <w:sz w:val="36"/>
          <w:szCs w:val="24"/>
        </w:rPr>
        <w:br w:type="page"/>
      </w:r>
    </w:p>
    <w:p w14:paraId="2FA6600D">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54BBF916">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5D3DC120">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23767FF7">
      <w:pPr>
        <w:spacing w:line="360" w:lineRule="auto"/>
        <w:ind w:firstLine="402" w:firstLineChars="200"/>
        <w:textAlignment w:val="baseline"/>
        <w:rPr>
          <w:rFonts w:asciiTheme="minorEastAsia" w:hAnsiTheme="minorEastAsia" w:eastAsiaTheme="minorEastAsia" w:cstheme="minorEastAsia"/>
          <w:bCs/>
          <w:sz w:val="20"/>
          <w:u w:val="single" w:color="000000"/>
        </w:rPr>
      </w:pPr>
      <w:r>
        <w:rPr>
          <w:rFonts w:hint="eastAsia" w:asciiTheme="minorEastAsia" w:hAnsiTheme="minorEastAsia" w:cstheme="minorEastAsia"/>
          <w:b/>
          <w:sz w:val="20"/>
          <w:lang w:val="en-US" w:eastAsia="zh-CN"/>
        </w:rPr>
        <w:t>采购人</w:t>
      </w:r>
      <w:r>
        <w:rPr>
          <w:rFonts w:hint="eastAsia" w:asciiTheme="minorEastAsia" w:hAnsiTheme="minorEastAsia" w:eastAsiaTheme="minorEastAsia" w:cstheme="minorEastAsia"/>
          <w:b/>
          <w:sz w:val="20"/>
        </w:rPr>
        <w:t>（甲方）</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bCs/>
          <w:sz w:val="20"/>
          <w:u w:val="single" w:color="000000"/>
        </w:rPr>
        <w:t xml:space="preserve">                                   </w:t>
      </w:r>
    </w:p>
    <w:p w14:paraId="4B755153">
      <w:pPr>
        <w:spacing w:line="360" w:lineRule="auto"/>
        <w:ind w:firstLine="402" w:firstLineChars="200"/>
        <w:textAlignment w:val="baseline"/>
        <w:rPr>
          <w:rFonts w:asciiTheme="minorEastAsia" w:hAnsiTheme="minorEastAsia" w:eastAsiaTheme="minorEastAsia" w:cstheme="minorEastAsia"/>
          <w:sz w:val="20"/>
          <w:u w:val="single" w:color="000000"/>
        </w:rPr>
      </w:pPr>
      <w:r>
        <w:rPr>
          <w:rFonts w:hint="eastAsia" w:asciiTheme="minorEastAsia" w:hAnsiTheme="minorEastAsia" w:cstheme="minorEastAsia"/>
          <w:b/>
          <w:sz w:val="20"/>
          <w:lang w:val="en-US" w:eastAsia="zh-CN"/>
        </w:rPr>
        <w:t>供应商</w:t>
      </w:r>
      <w:r>
        <w:rPr>
          <w:rFonts w:hint="eastAsia" w:asciiTheme="minorEastAsia" w:hAnsiTheme="minorEastAsia" w:eastAsiaTheme="minorEastAsia" w:cstheme="minorEastAsia"/>
          <w:b/>
          <w:sz w:val="20"/>
        </w:rPr>
        <w:t>（乙方）</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bCs/>
          <w:sz w:val="20"/>
          <w:u w:val="single" w:color="000000"/>
        </w:rPr>
        <w:t xml:space="preserve">                              </w:t>
      </w:r>
      <w:r>
        <w:rPr>
          <w:rFonts w:hint="eastAsia" w:asciiTheme="minorEastAsia" w:hAnsiTheme="minorEastAsia" w:eastAsiaTheme="minorEastAsia" w:cstheme="minorEastAsia"/>
          <w:sz w:val="20"/>
          <w:u w:val="single" w:color="000000"/>
        </w:rPr>
        <w:t xml:space="preserve">      </w:t>
      </w:r>
    </w:p>
    <w:p w14:paraId="5B904976">
      <w:pPr>
        <w:spacing w:line="360" w:lineRule="auto"/>
        <w:ind w:firstLine="400" w:firstLineChars="200"/>
        <w:textAlignment w:val="baseline"/>
        <w:rPr>
          <w:rFonts w:asciiTheme="minorEastAsia" w:hAnsiTheme="minorEastAsia" w:eastAsiaTheme="minorEastAsia" w:cstheme="minorEastAsia"/>
          <w:bCs/>
          <w:sz w:val="20"/>
        </w:rPr>
      </w:pPr>
      <w:r>
        <w:rPr>
          <w:rFonts w:hint="eastAsia" w:asciiTheme="minorEastAsia" w:hAnsiTheme="minorEastAsia" w:eastAsiaTheme="minorEastAsia" w:cstheme="minorEastAsia"/>
          <w:bCs/>
          <w:sz w:val="20"/>
        </w:rPr>
        <w:t>依据《中华人民共和国民法典》和《物业管理条例》以及国家法律、法规的有关规定，经甲乙双方充分协商，就甲方</w:t>
      </w:r>
      <w:r>
        <w:rPr>
          <w:rFonts w:hint="eastAsia" w:asciiTheme="minorEastAsia" w:hAnsiTheme="minorEastAsia" w:eastAsiaTheme="minorEastAsia" w:cstheme="minorEastAsia"/>
          <w:bCs/>
          <w:sz w:val="20"/>
          <w:u w:val="single"/>
        </w:rPr>
        <w:t xml:space="preserve">  （项目名称）  </w:t>
      </w:r>
      <w:r>
        <w:rPr>
          <w:rFonts w:hint="eastAsia" w:asciiTheme="minorEastAsia" w:hAnsiTheme="minorEastAsia" w:eastAsiaTheme="minorEastAsia" w:cstheme="minorEastAsia"/>
          <w:bCs/>
          <w:sz w:val="20"/>
        </w:rPr>
        <w:t>事宜达成如下协议，以资双方共同遵守。</w:t>
      </w:r>
    </w:p>
    <w:p w14:paraId="6F179D83">
      <w:pPr>
        <w:spacing w:line="360" w:lineRule="auto"/>
        <w:ind w:firstLine="402"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b/>
          <w:bCs/>
          <w:sz w:val="20"/>
        </w:rPr>
        <w:t>一、服务条件</w:t>
      </w:r>
    </w:p>
    <w:p w14:paraId="359AF6A5">
      <w:pPr>
        <w:spacing w:line="360" w:lineRule="auto"/>
        <w:ind w:firstLine="400" w:firstLineChars="200"/>
        <w:textAlignment w:val="baseline"/>
        <w:rPr>
          <w:rFonts w:asciiTheme="minorEastAsia" w:hAnsiTheme="minorEastAsia" w:eastAsiaTheme="minorEastAsia" w:cstheme="minorEastAsia"/>
          <w:sz w:val="20"/>
          <w:u w:val="single"/>
        </w:rPr>
      </w:pPr>
      <w:r>
        <w:rPr>
          <w:rFonts w:hint="eastAsia" w:asciiTheme="minorEastAsia" w:hAnsiTheme="minorEastAsia" w:eastAsiaTheme="minorEastAsia" w:cstheme="minorEastAsia"/>
          <w:sz w:val="20"/>
        </w:rPr>
        <w:t>（一）服务地点：</w:t>
      </w:r>
      <w:r>
        <w:rPr>
          <w:rFonts w:hint="eastAsia" w:asciiTheme="minorEastAsia" w:hAnsiTheme="minorEastAsia" w:eastAsiaTheme="minorEastAsia" w:cstheme="minorEastAsia"/>
          <w:sz w:val="20"/>
          <w:u w:val="single"/>
        </w:rPr>
        <w:t xml:space="preserve">                          </w:t>
      </w:r>
    </w:p>
    <w:p w14:paraId="766848E4">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（二）服务期</w:t>
      </w:r>
      <w:r>
        <w:rPr>
          <w:rFonts w:hint="eastAsia" w:asciiTheme="minorEastAsia" w:hAnsiTheme="minorEastAsia" w:cstheme="minorEastAsia"/>
          <w:sz w:val="20"/>
          <w:lang w:val="en-US" w:eastAsia="zh-CN"/>
        </w:rPr>
        <w:t>限</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rPr>
        <w:t xml:space="preserve">                          </w:t>
      </w:r>
    </w:p>
    <w:p w14:paraId="70C3E8C7">
      <w:pPr>
        <w:spacing w:line="360" w:lineRule="auto"/>
        <w:ind w:firstLine="402" w:firstLineChars="200"/>
        <w:textAlignment w:val="baseline"/>
        <w:rPr>
          <w:rFonts w:asciiTheme="minorEastAsia" w:hAnsiTheme="minorEastAsia" w:eastAsiaTheme="minorEastAsia" w:cstheme="minorEastAsia"/>
          <w:b/>
          <w:sz w:val="20"/>
        </w:rPr>
      </w:pPr>
      <w:r>
        <w:rPr>
          <w:rFonts w:hint="eastAsia" w:asciiTheme="minorEastAsia" w:hAnsiTheme="minorEastAsia" w:eastAsiaTheme="minorEastAsia" w:cstheme="minorEastAsia"/>
          <w:b/>
          <w:sz w:val="20"/>
        </w:rPr>
        <w:t>二、合同价款</w:t>
      </w:r>
    </w:p>
    <w:p w14:paraId="7825CA5C">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（一）合同总价款为人民币（大写）</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sz w:val="20"/>
        </w:rPr>
        <w:t>）</w:t>
      </w:r>
      <w:r>
        <w:rPr>
          <w:rFonts w:hint="eastAsia" w:asciiTheme="minorEastAsia" w:hAnsiTheme="minorEastAsia" w:cstheme="minorEastAsia"/>
          <w:sz w:val="20"/>
          <w:highlight w:val="none"/>
          <w:lang w:eastAsia="zh-CN"/>
        </w:rPr>
        <w:t>，</w:t>
      </w:r>
    </w:p>
    <w:p w14:paraId="69FE06AF">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w:t>
      </w:r>
      <w:r>
        <w:rPr>
          <w:rFonts w:hint="eastAsia" w:asciiTheme="minorEastAsia" w:hAnsiTheme="minorEastAsia" w:cstheme="minorEastAsia"/>
          <w:sz w:val="20"/>
          <w:lang w:val="en-US" w:eastAsia="zh-CN"/>
        </w:rPr>
        <w:t>二</w:t>
      </w:r>
      <w:r>
        <w:rPr>
          <w:rFonts w:hint="eastAsia" w:asciiTheme="minorEastAsia" w:hAnsiTheme="minorEastAsia" w:eastAsiaTheme="minorEastAsia" w:cstheme="minorEastAsia"/>
          <w:sz w:val="20"/>
        </w:rPr>
        <w:t>）合同总价包括：人员工资薪酬、价格表所包含的福利、税金及管理费等，本项目所需服务的全部费用。</w:t>
      </w:r>
    </w:p>
    <w:p w14:paraId="6211EED3">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w:t>
      </w:r>
      <w:r>
        <w:rPr>
          <w:rFonts w:hint="eastAsia" w:asciiTheme="minorEastAsia" w:hAnsiTheme="minorEastAsia" w:cstheme="minorEastAsia"/>
          <w:sz w:val="20"/>
          <w:lang w:val="en-US" w:eastAsia="zh-CN"/>
        </w:rPr>
        <w:t>三</w:t>
      </w:r>
      <w:r>
        <w:rPr>
          <w:rFonts w:hint="eastAsia" w:asciiTheme="minorEastAsia" w:hAnsiTheme="minorEastAsia" w:eastAsiaTheme="minorEastAsia" w:cstheme="minorEastAsia"/>
          <w:sz w:val="20"/>
        </w:rPr>
        <w:t>）合同总价为包干价，合同期内不受市场价格变化因素的影响。</w:t>
      </w:r>
    </w:p>
    <w:p w14:paraId="16F7AE7B">
      <w:pPr>
        <w:spacing w:line="360" w:lineRule="auto"/>
        <w:ind w:firstLine="402" w:firstLineChars="200"/>
        <w:textAlignment w:val="baseline"/>
        <w:rPr>
          <w:rFonts w:asciiTheme="minorEastAsia" w:hAnsiTheme="minorEastAsia" w:eastAsiaTheme="minorEastAsia" w:cstheme="minorEastAsia"/>
          <w:b/>
          <w:sz w:val="20"/>
        </w:rPr>
      </w:pPr>
      <w:r>
        <w:rPr>
          <w:rFonts w:hint="eastAsia" w:asciiTheme="minorEastAsia" w:hAnsiTheme="minorEastAsia" w:eastAsiaTheme="minorEastAsia" w:cstheme="minorEastAsia"/>
          <w:b/>
          <w:sz w:val="20"/>
        </w:rPr>
        <w:t>三、付款方式</w:t>
      </w:r>
    </w:p>
    <w:p w14:paraId="6A033992">
      <w:pPr>
        <w:spacing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（一）服务费按月</w:t>
      </w:r>
      <w:r>
        <w:rPr>
          <w:rFonts w:hint="eastAsia" w:ascii="宋体" w:hAnsi="宋体" w:eastAsia="宋体" w:cs="宋体"/>
          <w:sz w:val="20"/>
          <w:szCs w:val="20"/>
          <w:lang w:val="en-US" w:eastAsia="zh-CN"/>
        </w:rPr>
        <w:t>分次</w:t>
      </w:r>
      <w:r>
        <w:rPr>
          <w:rFonts w:hint="eastAsia" w:ascii="宋体" w:hAnsi="宋体" w:eastAsia="宋体" w:cs="宋体"/>
          <w:sz w:val="20"/>
          <w:szCs w:val="20"/>
        </w:rPr>
        <w:t>结算</w:t>
      </w:r>
    </w:p>
    <w:p w14:paraId="7AA4B52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第1次付款：服务费按月结算，服务期每满一个月 ，达到付款条件起 10 日内，支付合同总金额的 8.33%。</w:t>
      </w:r>
    </w:p>
    <w:p w14:paraId="15BBB70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第2次付款：服务费按月结算，服务期每满一个月 ，达到付款条件起 10 日内，支付合同总金额的 8.33%。</w:t>
      </w:r>
    </w:p>
    <w:p w14:paraId="0ED4A6D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第3次付款：服务费按月结算，服务期每满一个月 ，达到付款条件起 10 日内，支付合同总金额的 8.33%。</w:t>
      </w:r>
    </w:p>
    <w:p w14:paraId="7F5CE76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第4次付款：服务费按月结算，服务期每满一个月 ，达到付款条件起 10 日内，支付合同总金额的 8.33%。</w:t>
      </w:r>
    </w:p>
    <w:p w14:paraId="0D654EF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第5次付款：服务费按月结算，服务期每满一个月 ，达到付款条件起 10 日内，支付合同总金额的 8.33%。</w:t>
      </w:r>
    </w:p>
    <w:p w14:paraId="0F25004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第6次付款：服务费按月结算，服务期每满一个月 ，达到付款条件起 10 日内，支付合同总金额的 8.33%。</w:t>
      </w:r>
    </w:p>
    <w:p w14:paraId="2E25C2D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第7次付款：服务费按月结算，服务期每满一个月 ，达到付款条件起 10 日内，支付合同总金额的 8.33%。</w:t>
      </w:r>
    </w:p>
    <w:p w14:paraId="0929F84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第8次付款：服务费按月结算，服务期每满一个月 ，达到付款条件起 10 日内，支付合同总金额的 8.33%。</w:t>
      </w:r>
    </w:p>
    <w:p w14:paraId="59B76EA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第9次付款：服务费按月结算，服务期每满一个月 ，达到付款条件起 10 日内，支付合同总金额的 8.33%。</w:t>
      </w:r>
    </w:p>
    <w:p w14:paraId="618136F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第10次付款：服务费按月结算，服务期每满一个月 ，达到付款条件起 10 日内，支付合同总金额的 8.33%。</w:t>
      </w:r>
    </w:p>
    <w:p w14:paraId="0C00C6D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第11次付款：服务费按月结算，服务期每满一个月 ，达到付款条件起 10 日内，支付合同总金额的 8.33%。</w:t>
      </w:r>
    </w:p>
    <w:p w14:paraId="631F79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第12次付款：服务费按月结算，服务期每满一个月 ，达到付款条件起 10 日内，支付合同总金额的 8.37%。</w:t>
      </w:r>
    </w:p>
    <w:p w14:paraId="64AE74D8">
      <w:pPr>
        <w:spacing w:line="360" w:lineRule="auto"/>
        <w:ind w:firstLine="400" w:firstLineChars="200"/>
        <w:textAlignment w:val="baseline"/>
        <w:rPr>
          <w:rFonts w:hint="eastAsia" w:asciiTheme="minorEastAsia" w:hAnsiTheme="minorEastAsia" w:eastAsiaTheme="minorEastAsia" w:cstheme="minorEastAsia"/>
          <w:sz w:val="20"/>
        </w:rPr>
      </w:pPr>
    </w:p>
    <w:p w14:paraId="79CD7099">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（二）付款方式为转账支付。付款前，乙方应提供等额有效发票。甲方收到乙方正式发票后，支付费用。</w:t>
      </w:r>
    </w:p>
    <w:p w14:paraId="6B061684">
      <w:pPr>
        <w:spacing w:line="360" w:lineRule="auto"/>
        <w:ind w:firstLine="402" w:firstLineChars="200"/>
        <w:rPr>
          <w:rFonts w:asciiTheme="minorEastAsia" w:hAnsiTheme="minorEastAsia" w:eastAsiaTheme="minorEastAsia" w:cstheme="minorEastAsia"/>
          <w:b/>
          <w:bCs/>
          <w:sz w:val="20"/>
        </w:rPr>
      </w:pPr>
      <w:r>
        <w:rPr>
          <w:rFonts w:hint="eastAsia" w:asciiTheme="minorEastAsia" w:hAnsiTheme="minorEastAsia" w:eastAsiaTheme="minorEastAsia" w:cstheme="minorEastAsia"/>
          <w:b/>
          <w:bCs/>
          <w:sz w:val="20"/>
        </w:rPr>
        <w:t>四</w:t>
      </w:r>
      <w:r>
        <w:rPr>
          <w:rFonts w:hint="eastAsia" w:asciiTheme="minorEastAsia" w:hAnsiTheme="minorEastAsia" w:eastAsiaTheme="minorEastAsia" w:cstheme="minorEastAsia"/>
          <w:b/>
          <w:bCs/>
          <w:sz w:val="20"/>
        </w:rPr>
        <w:tab/>
      </w:r>
      <w:r>
        <w:rPr>
          <w:rFonts w:hint="eastAsia" w:asciiTheme="minorEastAsia" w:hAnsiTheme="minorEastAsia" w:eastAsiaTheme="minorEastAsia" w:cstheme="minorEastAsia"/>
          <w:b/>
          <w:bCs/>
          <w:sz w:val="20"/>
        </w:rPr>
        <w:t>、管理服务人员配置标准</w:t>
      </w:r>
    </w:p>
    <w:p w14:paraId="0426FB5F">
      <w:pPr>
        <w:pStyle w:val="2"/>
        <w:snapToGrid/>
        <w:spacing w:line="360" w:lineRule="auto"/>
        <w:ind w:firstLine="400" w:firstLineChars="200"/>
        <w:jc w:val="both"/>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color w:val="auto"/>
          <w:sz w:val="20"/>
          <w:szCs w:val="20"/>
        </w:rPr>
        <w:t>项目人员配备人数</w:t>
      </w:r>
      <w:r>
        <w:rPr>
          <w:rFonts w:hint="eastAsia" w:asciiTheme="minorEastAsia" w:hAnsiTheme="minorEastAsia" w:cstheme="minorEastAsia"/>
          <w:color w:val="auto"/>
          <w:sz w:val="20"/>
          <w:szCs w:val="20"/>
          <w:lang w:val="en-US" w:eastAsia="zh-CN"/>
        </w:rPr>
        <w:t>18</w:t>
      </w:r>
      <w:r>
        <w:rPr>
          <w:rFonts w:hint="eastAsia" w:asciiTheme="minorEastAsia" w:hAnsiTheme="minorEastAsia" w:eastAsiaTheme="minorEastAsia" w:cstheme="minorEastAsia"/>
          <w:b w:val="0"/>
          <w:bCs/>
          <w:color w:val="auto"/>
          <w:sz w:val="20"/>
          <w:szCs w:val="20"/>
        </w:rPr>
        <w:t>人。</w:t>
      </w:r>
    </w:p>
    <w:p w14:paraId="587B8F9F">
      <w:pPr>
        <w:pStyle w:val="2"/>
        <w:snapToGrid/>
        <w:spacing w:line="360" w:lineRule="auto"/>
        <w:ind w:firstLine="402" w:firstLineChars="200"/>
        <w:jc w:val="both"/>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五、管理服务内容</w:t>
      </w:r>
    </w:p>
    <w:p w14:paraId="70931153">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1、保洁服务</w:t>
      </w:r>
    </w:p>
    <w:p w14:paraId="3240A5F2">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(1)服务区域</w:t>
      </w:r>
    </w:p>
    <w:p w14:paraId="6366BF77">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室外:</w:t>
      </w:r>
      <w:r>
        <w:rPr>
          <w:rFonts w:hint="eastAsia" w:asciiTheme="minorEastAsia" w:hAnsiTheme="minorEastAsia" w:eastAsiaTheme="minorEastAsia" w:cstheme="minorEastAsia"/>
          <w:sz w:val="20"/>
          <w:lang w:val="en-US" w:eastAsia="zh-CN"/>
        </w:rPr>
        <w:t>校园</w:t>
      </w:r>
      <w:r>
        <w:rPr>
          <w:rFonts w:hint="eastAsia" w:asciiTheme="minorEastAsia" w:hAnsiTheme="minorEastAsia" w:eastAsiaTheme="minorEastAsia" w:cstheme="minorEastAsia"/>
          <w:sz w:val="20"/>
        </w:rPr>
        <w:t>环境、操场、公共区域</w:t>
      </w:r>
      <w:r>
        <w:rPr>
          <w:rFonts w:hint="eastAsia" w:asciiTheme="minorEastAsia" w:hAnsiTheme="minorEastAsia" w:eastAsiaTheme="minorEastAsia" w:cstheme="minorEastAsia"/>
          <w:sz w:val="20"/>
          <w:lang w:eastAsia="zh-CN"/>
        </w:rPr>
        <w:t>、</w:t>
      </w:r>
      <w:r>
        <w:rPr>
          <w:rFonts w:hint="eastAsia" w:asciiTheme="minorEastAsia" w:hAnsiTheme="minorEastAsia" w:eastAsiaTheme="minorEastAsia" w:cstheme="minorEastAsia"/>
          <w:sz w:val="20"/>
        </w:rPr>
        <w:t>各种辅助设施的清洁及日常保洁。</w:t>
      </w:r>
    </w:p>
    <w:p w14:paraId="161D0095">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室内:教学楼及</w:t>
      </w:r>
      <w:r>
        <w:rPr>
          <w:rFonts w:hint="eastAsia" w:asciiTheme="minorEastAsia" w:hAnsiTheme="minorEastAsia" w:eastAsiaTheme="minorEastAsia" w:cstheme="minorEastAsia"/>
          <w:sz w:val="20"/>
          <w:lang w:val="en-US" w:eastAsia="zh-CN"/>
        </w:rPr>
        <w:t>园</w:t>
      </w:r>
      <w:r>
        <w:rPr>
          <w:rFonts w:hint="eastAsia" w:asciiTheme="minorEastAsia" w:hAnsiTheme="minorEastAsia" w:eastAsiaTheme="minorEastAsia" w:cstheme="minorEastAsia"/>
          <w:sz w:val="20"/>
        </w:rPr>
        <w:t>内公共区域的保洁工作。</w:t>
      </w:r>
    </w:p>
    <w:p w14:paraId="2D562D18">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其他:办公区垃圾、卫生间垃圾转运至垃圾</w:t>
      </w:r>
      <w:r>
        <w:rPr>
          <w:rFonts w:hint="eastAsia" w:asciiTheme="minorEastAsia" w:hAnsiTheme="minorEastAsia" w:eastAsiaTheme="minorEastAsia" w:cstheme="minorEastAsia"/>
          <w:sz w:val="20"/>
          <w:lang w:val="en-US" w:eastAsia="zh-CN"/>
        </w:rPr>
        <w:t>房</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lang w:val="en-US" w:eastAsia="zh-CN"/>
        </w:rPr>
        <w:t>清洁垃圾桶及垃圾房卫生</w:t>
      </w:r>
      <w:r>
        <w:rPr>
          <w:rFonts w:hint="eastAsia" w:asciiTheme="minorEastAsia" w:hAnsiTheme="minorEastAsia" w:eastAsiaTheme="minorEastAsia" w:cstheme="minorEastAsia"/>
          <w:sz w:val="20"/>
        </w:rPr>
        <w:t>。</w:t>
      </w:r>
    </w:p>
    <w:p w14:paraId="478F861C">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(2)服务标准:</w:t>
      </w:r>
    </w:p>
    <w:p w14:paraId="3843FE55">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lang w:val="en-US" w:eastAsia="zh-CN"/>
        </w:rPr>
        <w:t>教学楼内</w:t>
      </w:r>
      <w:r>
        <w:rPr>
          <w:rFonts w:hint="eastAsia" w:asciiTheme="minorEastAsia" w:hAnsiTheme="minorEastAsia" w:eastAsiaTheme="minorEastAsia" w:cstheme="minorEastAsia"/>
          <w:sz w:val="20"/>
        </w:rPr>
        <w:t>每天清洁地面、擦拭楼梯扶手、栏杆、墙面、垃圾桶，每周擦拭门窗，保持地面清洁无垃圾污渍，墙壁无浮灰、蜘蛛网、污迹;办公</w:t>
      </w:r>
      <w:r>
        <w:rPr>
          <w:rFonts w:hint="eastAsia" w:asciiTheme="minorEastAsia" w:hAnsiTheme="minorEastAsia" w:eastAsiaTheme="minorEastAsia" w:cstheme="minorEastAsia"/>
          <w:sz w:val="20"/>
          <w:lang w:val="en-US" w:eastAsia="zh-CN"/>
        </w:rPr>
        <w:t>室、</w:t>
      </w:r>
      <w:r>
        <w:rPr>
          <w:rFonts w:hint="eastAsia" w:asciiTheme="minorEastAsia" w:hAnsiTheme="minorEastAsia" w:eastAsiaTheme="minorEastAsia" w:cstheme="minorEastAsia"/>
          <w:sz w:val="20"/>
        </w:rPr>
        <w:t>会议室</w:t>
      </w:r>
      <w:r>
        <w:rPr>
          <w:rFonts w:hint="eastAsia" w:asciiTheme="minorEastAsia" w:hAnsiTheme="minorEastAsia" w:eastAsiaTheme="minorEastAsia" w:cstheme="minorEastAsia"/>
          <w:sz w:val="20"/>
          <w:lang w:eastAsia="zh-CN"/>
        </w:rPr>
        <w:t>、</w:t>
      </w:r>
      <w:r>
        <w:rPr>
          <w:rFonts w:hint="eastAsia" w:asciiTheme="minorEastAsia" w:hAnsiTheme="minorEastAsia" w:eastAsiaTheme="minorEastAsia" w:cstheme="minorEastAsia"/>
          <w:sz w:val="20"/>
          <w:lang w:val="en-US" w:eastAsia="zh-CN"/>
        </w:rPr>
        <w:t>各个部室等区域</w:t>
      </w:r>
      <w:r>
        <w:rPr>
          <w:rFonts w:hint="eastAsia" w:asciiTheme="minorEastAsia" w:hAnsiTheme="minorEastAsia" w:eastAsiaTheme="minorEastAsia" w:cstheme="minorEastAsia"/>
          <w:sz w:val="20"/>
        </w:rPr>
        <w:t>每天清扫，保证随时使用。</w:t>
      </w:r>
    </w:p>
    <w:p w14:paraId="0FED97FE">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卫生间每天清扫，</w:t>
      </w:r>
      <w:r>
        <w:rPr>
          <w:rFonts w:hint="eastAsia" w:asciiTheme="minorEastAsia" w:hAnsiTheme="minorEastAsia" w:eastAsiaTheme="minorEastAsia" w:cstheme="minorEastAsia"/>
          <w:sz w:val="20"/>
          <w:lang w:eastAsia="zh-CN"/>
        </w:rPr>
        <w:t>保证卫生间及水房地面无明显水渍</w:t>
      </w:r>
      <w:r>
        <w:rPr>
          <w:rFonts w:hint="eastAsia" w:asciiTheme="minorEastAsia" w:hAnsiTheme="minorEastAsia" w:eastAsiaTheme="minorEastAsia" w:cstheme="minorEastAsia"/>
          <w:sz w:val="20"/>
        </w:rPr>
        <w:t>，其余时间巡回清扫，保持厕所卫生清洁无异味，便池水池地面管道无积水、无堵塞，无垃圾存放现象。保洁用品摆放整齐有序。</w:t>
      </w:r>
    </w:p>
    <w:p w14:paraId="798B1438">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需在保洁区域巡视，及时清扫捡拾杂物，确保路面场地绿化区无垃圾、杂物，无卫生死角。展板，宣传栏、</w:t>
      </w:r>
      <w:r>
        <w:rPr>
          <w:rFonts w:hint="eastAsia" w:asciiTheme="minorEastAsia" w:hAnsiTheme="minorEastAsia" w:eastAsiaTheme="minorEastAsia" w:cstheme="minorEastAsia"/>
          <w:sz w:val="20"/>
          <w:lang w:val="en-US" w:eastAsia="zh-CN"/>
        </w:rPr>
        <w:t>绿植</w:t>
      </w:r>
      <w:r>
        <w:rPr>
          <w:rFonts w:hint="eastAsia" w:asciiTheme="minorEastAsia" w:hAnsiTheme="minorEastAsia" w:eastAsiaTheme="minorEastAsia" w:cstheme="minorEastAsia"/>
          <w:sz w:val="20"/>
        </w:rPr>
        <w:t>等设定期擦拭，达到无明显灰尘。墙面等及时清理、保持洁净无</w:t>
      </w:r>
      <w:r>
        <w:rPr>
          <w:rFonts w:hint="eastAsia" w:asciiTheme="minorEastAsia" w:hAnsiTheme="minorEastAsia" w:eastAsiaTheme="minorEastAsia" w:cstheme="minorEastAsia"/>
          <w:sz w:val="20"/>
          <w:lang w:eastAsia="zh-CN"/>
        </w:rPr>
        <w:t>污渍。</w:t>
      </w:r>
    </w:p>
    <w:p w14:paraId="408CE1EE">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根据防疫规定及幼儿园要求，定期对园内进行消毒，并保存相关记录。</w:t>
      </w:r>
    </w:p>
    <w:p w14:paraId="5EB4516B">
      <w:pPr>
        <w:spacing w:line="360" w:lineRule="auto"/>
        <w:ind w:firstLine="400" w:firstLineChars="200"/>
        <w:textAlignment w:val="baseline"/>
        <w:rPr>
          <w:rFonts w:hint="default" w:asciiTheme="minorEastAsia" w:hAnsiTheme="minorEastAsia" w:eastAsiaTheme="minorEastAsia" w:cstheme="minorEastAsia"/>
          <w:sz w:val="20"/>
          <w:lang w:val="en-US" w:eastAsia="zh-CN"/>
        </w:rPr>
      </w:pPr>
      <w:r>
        <w:rPr>
          <w:rFonts w:hint="eastAsia" w:asciiTheme="minorEastAsia" w:hAnsiTheme="minorEastAsia" w:eastAsiaTheme="minorEastAsia" w:cstheme="minorEastAsia"/>
          <w:sz w:val="20"/>
          <w:lang w:eastAsia="zh-CN"/>
        </w:rPr>
        <w:t>2.水电</w:t>
      </w:r>
      <w:r>
        <w:rPr>
          <w:rFonts w:hint="eastAsia" w:asciiTheme="minorEastAsia" w:hAnsiTheme="minorEastAsia" w:eastAsiaTheme="minorEastAsia" w:cstheme="minorEastAsia"/>
          <w:sz w:val="20"/>
          <w:lang w:val="en-US" w:eastAsia="zh-CN"/>
        </w:rPr>
        <w:t>维修</w:t>
      </w:r>
    </w:p>
    <w:p w14:paraId="5236305D">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(1)服务内容:</w:t>
      </w:r>
    </w:p>
    <w:p w14:paraId="6BC97172">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负责</w:t>
      </w:r>
      <w:r>
        <w:rPr>
          <w:rFonts w:hint="eastAsia" w:asciiTheme="minorEastAsia" w:hAnsiTheme="minorEastAsia" w:eastAsiaTheme="minorEastAsia" w:cstheme="minorEastAsia"/>
          <w:sz w:val="20"/>
          <w:lang w:val="en-US" w:eastAsia="zh-CN"/>
        </w:rPr>
        <w:t>园</w:t>
      </w:r>
      <w:r>
        <w:rPr>
          <w:rFonts w:hint="eastAsia" w:asciiTheme="minorEastAsia" w:hAnsiTheme="minorEastAsia" w:eastAsiaTheme="minorEastAsia" w:cstheme="minorEastAsia"/>
          <w:sz w:val="20"/>
          <w:lang w:eastAsia="zh-CN"/>
        </w:rPr>
        <w:t>内基础水电正常运行和日常维护。</w:t>
      </w:r>
    </w:p>
    <w:p w14:paraId="2808A719">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负责幼儿园灯具、家具、门窗锁具、上下水管路等的小型维修工作。</w:t>
      </w:r>
    </w:p>
    <w:p w14:paraId="49FDC5AB">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日常水电系统及设施的巡查，发现问题及时上报，协助维保人员对专业设施设备进行维护保养工作;</w:t>
      </w:r>
    </w:p>
    <w:p w14:paraId="76AFC1F4">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处理包括停电、水浸等突发事件的应急处置;</w:t>
      </w:r>
    </w:p>
    <w:p w14:paraId="2F8D1BE2">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配合幼儿园工程施工方临电的接送;</w:t>
      </w:r>
    </w:p>
    <w:p w14:paraId="1D673333">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配合幼儿园水电设施设备质保期外的维修，产生的施工维修成本及设备更换费用由乙方上报维修方案。</w:t>
      </w:r>
    </w:p>
    <w:p w14:paraId="70253E8A">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(2)服务标准:</w:t>
      </w:r>
    </w:p>
    <w:p w14:paraId="55EFA115">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按作业指导标准进行设施设备的维护保养，水电暖等运行正常，接到急修呼唤，</w:t>
      </w:r>
      <w:r>
        <w:rPr>
          <w:rFonts w:hint="eastAsia" w:asciiTheme="minorEastAsia" w:hAnsiTheme="minorEastAsia" w:eastAsiaTheme="minorEastAsia" w:cstheme="minorEastAsia"/>
          <w:sz w:val="20"/>
          <w:lang w:val="en-US" w:eastAsia="zh-CN"/>
        </w:rPr>
        <w:t>三十</w:t>
      </w:r>
      <w:r>
        <w:rPr>
          <w:rFonts w:hint="eastAsia" w:asciiTheme="minorEastAsia" w:hAnsiTheme="minorEastAsia" w:eastAsiaTheme="minorEastAsia" w:cstheme="minorEastAsia"/>
          <w:sz w:val="20"/>
          <w:lang w:eastAsia="zh-CN"/>
        </w:rPr>
        <w:t>分钟内到达。日常水电维修值班，接到维修处理派单24小时之内完成维修:小范围维修及时率达到 100%。</w:t>
      </w:r>
    </w:p>
    <w:p w14:paraId="18284198">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val="en-US" w:eastAsia="zh-CN"/>
        </w:rPr>
        <w:t>3.</w:t>
      </w:r>
      <w:r>
        <w:rPr>
          <w:rFonts w:hint="eastAsia" w:asciiTheme="minorEastAsia" w:hAnsiTheme="minorEastAsia" w:eastAsiaTheme="minorEastAsia" w:cstheme="minorEastAsia"/>
          <w:sz w:val="20"/>
          <w:lang w:eastAsia="zh-CN"/>
        </w:rPr>
        <w:t>安保服务</w:t>
      </w:r>
    </w:p>
    <w:p w14:paraId="29592373">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(1)服务内容:</w:t>
      </w:r>
    </w:p>
    <w:p w14:paraId="0DE51D30">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保证幼儿园内安全和正常工作、生活秩序，做好协防保卫，做好车辆、车库、道路及安全秩序管理等;</w:t>
      </w:r>
    </w:p>
    <w:p w14:paraId="3BDB34D7">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val="en-US" w:eastAsia="zh-CN"/>
        </w:rPr>
        <w:t>保安年龄不超过50周岁，并</w:t>
      </w:r>
      <w:r>
        <w:rPr>
          <w:rFonts w:hint="eastAsia" w:asciiTheme="minorEastAsia" w:hAnsiTheme="minorEastAsia" w:eastAsiaTheme="minorEastAsia" w:cstheme="minorEastAsia"/>
          <w:sz w:val="20"/>
          <w:lang w:eastAsia="zh-CN"/>
        </w:rPr>
        <w:t>实行全天候24小时值班制度;</w:t>
      </w:r>
    </w:p>
    <w:p w14:paraId="371902BA">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协防设置门岗和巡逻岗，对外来人员，建立询问登记制度，礼貌用语、文明用语、热情服务，按照采购人要求进行出入管理服务;</w:t>
      </w:r>
    </w:p>
    <w:p w14:paraId="3B530D16">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保证区域内安全秩序良好，道路通畅，引导指挥车辆停放有序；</w:t>
      </w:r>
    </w:p>
    <w:p w14:paraId="473B6BD0">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(2)服务标准:</w:t>
      </w:r>
    </w:p>
    <w:p w14:paraId="3176BF87">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根据采购人要求，服从工作人员调配，做好各项活动的秩序维护工作。</w:t>
      </w:r>
    </w:p>
    <w:p w14:paraId="426F2A2F">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制定安全管理服务预案，完善责任制，遇突发事件能应急处理；</w:t>
      </w:r>
    </w:p>
    <w:p w14:paraId="5DAEF7BF">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能及时发现和处理各种事故隐患，确保不发生安全方面的问题，能迅速有效处置突发事件；</w:t>
      </w:r>
    </w:p>
    <w:p w14:paraId="7F7F68AC">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对针对本区域的盗抢破坏等违法行为，能够积极应对，及时报警协助制止。</w:t>
      </w:r>
    </w:p>
    <w:p w14:paraId="03058F46">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遇有重要活动承担礼宾工作，精神饱满，举止得体。</w:t>
      </w:r>
    </w:p>
    <w:p w14:paraId="28CD6AE6">
      <w:pPr>
        <w:pStyle w:val="2"/>
        <w:snapToGrid/>
        <w:spacing w:line="360" w:lineRule="auto"/>
        <w:ind w:firstLine="400" w:firstLineChars="200"/>
        <w:jc w:val="both"/>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配合完成幼儿园其他交办的工作。</w:t>
      </w:r>
    </w:p>
    <w:p w14:paraId="095146D6">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kern w:val="2"/>
          <w:sz w:val="20"/>
          <w:szCs w:val="20"/>
        </w:rPr>
        <w:t>六、</w:t>
      </w:r>
      <w:r>
        <w:rPr>
          <w:rFonts w:hint="eastAsia" w:asciiTheme="minorEastAsia" w:hAnsiTheme="minorEastAsia" w:eastAsiaTheme="minorEastAsia" w:cstheme="minorEastAsia"/>
          <w:b/>
          <w:bCs/>
          <w:sz w:val="20"/>
          <w:szCs w:val="20"/>
        </w:rPr>
        <w:t>管理服务标准</w:t>
      </w:r>
    </w:p>
    <w:p w14:paraId="5D863BC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1、总体标准</w:t>
      </w:r>
    </w:p>
    <w:p w14:paraId="1BD49ED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1.1无因管理服务造成的安全事故、质量事故。</w:t>
      </w:r>
    </w:p>
    <w:p w14:paraId="69099224">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1.2服务的满意度达90%以上。</w:t>
      </w:r>
    </w:p>
    <w:p w14:paraId="6AF92A6B">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1.3有效投诉处理率100%。</w:t>
      </w:r>
    </w:p>
    <w:p w14:paraId="52ED6F86">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1.4有效投诉率低于1%。</w:t>
      </w:r>
    </w:p>
    <w:p w14:paraId="4CBFF7EA">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1.5环境卫生达标率95%。</w:t>
      </w:r>
    </w:p>
    <w:p w14:paraId="778C73C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kern w:val="2"/>
          <w:sz w:val="20"/>
          <w:szCs w:val="20"/>
        </w:rPr>
        <w:t>2.</w:t>
      </w:r>
      <w:r>
        <w:rPr>
          <w:rFonts w:hint="eastAsia" w:asciiTheme="minorEastAsia" w:hAnsiTheme="minorEastAsia" w:eastAsiaTheme="minorEastAsia" w:cstheme="minorEastAsia"/>
          <w:sz w:val="20"/>
          <w:szCs w:val="20"/>
        </w:rPr>
        <w:t>建筑物及构筑物养护、维修服务。</w:t>
      </w:r>
    </w:p>
    <w:p w14:paraId="1DFC054E">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七、双方的权利和义务</w:t>
      </w:r>
    </w:p>
    <w:p w14:paraId="6A3A416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（一）甲方的权利和义务</w:t>
      </w:r>
    </w:p>
    <w:p w14:paraId="4D9D2D97">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1.甲方有权检查、监督乙方物业服务工作的实施及合同的执行情况。若甲方未履行监督义务，导致乙方服务质量受到影响，甲方应承担相应的违约责任，包括但不限于赔偿乙方因此遭受的损失。</w:t>
      </w:r>
    </w:p>
    <w:p w14:paraId="130A6BC9">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2.甲方免费提供物业管理用房，乙方在使用时均不得擅自改变房屋用途、以及对外出借、出租、闲置等，只能专项用于物业管理用途。</w:t>
      </w:r>
    </w:p>
    <w:p w14:paraId="1DC32511">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3.依照合同约定向乙方支付服务费及其他本合同约定应当由甲方承担的费用。</w:t>
      </w:r>
    </w:p>
    <w:p w14:paraId="73A006F5">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（二）乙方的权利和义务</w:t>
      </w:r>
    </w:p>
    <w:p w14:paraId="044D6A6F">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1.乙方有权根据有关法律法规的规定及本合同约定，自行制定后勤服务保障相关制度，拟定管理公约。</w:t>
      </w:r>
    </w:p>
    <w:p w14:paraId="28AF4426">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2.本合同终止时，乙方必须向甲方移交全部管理用房。</w:t>
      </w:r>
    </w:p>
    <w:p w14:paraId="0CA101A9">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八、质量保证</w:t>
      </w:r>
    </w:p>
    <w:p w14:paraId="3030F618">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保证所供后勤保障期内的服务标准按照合同执行。</w:t>
      </w:r>
    </w:p>
    <w:p w14:paraId="0A05EF4C">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九、违约责任</w:t>
      </w:r>
    </w:p>
    <w:p w14:paraId="2EF0B4E4">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(一)按《民法典》中的相关条款执行。</w:t>
      </w:r>
    </w:p>
    <w:p w14:paraId="1582B748">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(二)乙方提供的服务不符合本项目相关文件和本合同规定的，甲方有权拒绝,并且乙方须向甲方支付本合同总价款1%的违约金。</w:t>
      </w:r>
    </w:p>
    <w:p w14:paraId="1618E82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三)乙方未能按照本合同约定时间提供服务或完成约定的项目服务内容的，从逾期之日起每日按本合同总价款0.5%的数额向甲方支付违约金;逾期10日以上的，甲方有权终止合同，由此造成的甲方经济损失由乙方承担。如因不可抗力或其他非乙方原因导致的延误，乙方不承担违约责任。</w:t>
      </w:r>
    </w:p>
    <w:p w14:paraId="3A897660">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(四)在本合同履行过程中,双方因违约或造成对方经济、社会效益等损失的应当赔偿。</w:t>
      </w:r>
    </w:p>
    <w:p w14:paraId="02C425E6">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十、保密条款</w:t>
      </w:r>
    </w:p>
    <w:p w14:paraId="0EE3F94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乙方应遵守国家有关保密的法律法规和行业规定，并对甲方提供的资料负有保密义务。本保密义务自合同生效之日起至合同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4C662C15">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(二)本条款为独立条款，本合同的无效、变更、解除和终止均不影响本条款的效力。</w:t>
      </w:r>
    </w:p>
    <w:p w14:paraId="67049552">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十一、争议解决</w:t>
      </w:r>
    </w:p>
    <w:p w14:paraId="424E53BB">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本合同履行过程中发生的纠纷双方应协商解决。协商不成的，合同任何一方均有权向甲方所在地人民法院提起诉讼。</w:t>
      </w:r>
    </w:p>
    <w:p w14:paraId="28BC5D3C">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十二、合同变更</w:t>
      </w:r>
    </w:p>
    <w:p w14:paraId="014B8E5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在合同的执行期内，双方均不得随意变更或解除合同。如因项目需求情况发生变化，需要项目变更的，应双方协商后签订项目变更协议。</w:t>
      </w:r>
    </w:p>
    <w:p w14:paraId="618FFB1F">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十三、合同生效</w:t>
      </w:r>
    </w:p>
    <w:p w14:paraId="75A1A467">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本合同一式</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份，甲方持</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份，乙方持</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份，本合同双方签字盖章后生效，合同执行完毕后，自动失效。</w:t>
      </w:r>
    </w:p>
    <w:p w14:paraId="255A453D">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十四、其他事项</w:t>
      </w:r>
    </w:p>
    <w:p w14:paraId="0443909E">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合同未尽事宜，由双方协商确认后签订补充协议，与原合同具有同等法律效力。</w:t>
      </w:r>
    </w:p>
    <w:p w14:paraId="4D329237">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以下无正文</w:t>
      </w:r>
    </w:p>
    <w:p w14:paraId="71FF777B">
      <w:pPr>
        <w:rPr>
          <w:rFonts w:asciiTheme="minorEastAsia" w:hAnsiTheme="minorEastAsia" w:eastAsiaTheme="minorEastAsia" w:cstheme="minorEastAsia"/>
          <w:sz w:val="20"/>
        </w:rPr>
      </w:pPr>
    </w:p>
    <w:tbl>
      <w:tblPr>
        <w:tblStyle w:val="3"/>
        <w:tblW w:w="0" w:type="auto"/>
        <w:jc w:val="center"/>
        <w:tblLayout w:type="fixed"/>
        <w:tblCellMar>
          <w:top w:w="0" w:type="dxa"/>
          <w:left w:w="108" w:type="dxa"/>
          <w:bottom w:w="0" w:type="dxa"/>
          <w:right w:w="108" w:type="dxa"/>
        </w:tblCellMar>
      </w:tblPr>
      <w:tblGrid>
        <w:gridCol w:w="4201"/>
        <w:gridCol w:w="4202"/>
      </w:tblGrid>
      <w:tr w14:paraId="34DEE261">
        <w:tblPrEx>
          <w:tblCellMar>
            <w:top w:w="0" w:type="dxa"/>
            <w:left w:w="108" w:type="dxa"/>
            <w:bottom w:w="0" w:type="dxa"/>
            <w:right w:w="108" w:type="dxa"/>
          </w:tblCellMar>
        </w:tblPrEx>
        <w:trPr>
          <w:trHeight w:val="567" w:hRule="exact"/>
          <w:jc w:val="center"/>
        </w:trPr>
        <w:tc>
          <w:tcPr>
            <w:tcW w:w="4201" w:type="dxa"/>
            <w:vAlign w:val="center"/>
          </w:tcPr>
          <w:p w14:paraId="6399FE5E">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甲  方（盖章）</w:t>
            </w:r>
          </w:p>
        </w:tc>
        <w:tc>
          <w:tcPr>
            <w:tcW w:w="4202" w:type="dxa"/>
            <w:vAlign w:val="center"/>
          </w:tcPr>
          <w:p w14:paraId="40DAD5C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乙  方（盖章）</w:t>
            </w:r>
          </w:p>
        </w:tc>
      </w:tr>
      <w:tr w14:paraId="1A28AEFA">
        <w:tblPrEx>
          <w:tblCellMar>
            <w:top w:w="0" w:type="dxa"/>
            <w:left w:w="108" w:type="dxa"/>
            <w:bottom w:w="0" w:type="dxa"/>
            <w:right w:w="108" w:type="dxa"/>
          </w:tblCellMar>
        </w:tblPrEx>
        <w:trPr>
          <w:trHeight w:val="567" w:hRule="exact"/>
          <w:jc w:val="center"/>
        </w:trPr>
        <w:tc>
          <w:tcPr>
            <w:tcW w:w="4201" w:type="dxa"/>
            <w:vAlign w:val="center"/>
          </w:tcPr>
          <w:p w14:paraId="03B9155E">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通讯地址： </w:t>
            </w:r>
          </w:p>
        </w:tc>
        <w:tc>
          <w:tcPr>
            <w:tcW w:w="4202" w:type="dxa"/>
            <w:vAlign w:val="center"/>
          </w:tcPr>
          <w:p w14:paraId="70E8D300">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通讯地址：</w:t>
            </w:r>
          </w:p>
        </w:tc>
      </w:tr>
      <w:tr w14:paraId="1A52268B">
        <w:tblPrEx>
          <w:tblCellMar>
            <w:top w:w="0" w:type="dxa"/>
            <w:left w:w="108" w:type="dxa"/>
            <w:bottom w:w="0" w:type="dxa"/>
            <w:right w:w="108" w:type="dxa"/>
          </w:tblCellMar>
        </w:tblPrEx>
        <w:trPr>
          <w:trHeight w:val="567" w:hRule="exact"/>
          <w:jc w:val="center"/>
        </w:trPr>
        <w:tc>
          <w:tcPr>
            <w:tcW w:w="4201" w:type="dxa"/>
            <w:vAlign w:val="center"/>
          </w:tcPr>
          <w:p w14:paraId="21009AA3">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法定代表或委托代理人： </w:t>
            </w:r>
          </w:p>
        </w:tc>
        <w:tc>
          <w:tcPr>
            <w:tcW w:w="4202" w:type="dxa"/>
            <w:vAlign w:val="center"/>
          </w:tcPr>
          <w:p w14:paraId="6DBE257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法定代表或委托代理人：</w:t>
            </w:r>
          </w:p>
        </w:tc>
      </w:tr>
      <w:tr w14:paraId="57EBB278">
        <w:tblPrEx>
          <w:tblCellMar>
            <w:top w:w="0" w:type="dxa"/>
            <w:left w:w="108" w:type="dxa"/>
            <w:bottom w:w="0" w:type="dxa"/>
            <w:right w:w="108" w:type="dxa"/>
          </w:tblCellMar>
        </w:tblPrEx>
        <w:trPr>
          <w:trHeight w:val="567" w:hRule="exact"/>
          <w:jc w:val="center"/>
        </w:trPr>
        <w:tc>
          <w:tcPr>
            <w:tcW w:w="4201" w:type="dxa"/>
            <w:vAlign w:val="center"/>
          </w:tcPr>
          <w:p w14:paraId="35064B01">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c>
          <w:tcPr>
            <w:tcW w:w="4202" w:type="dxa"/>
            <w:vAlign w:val="center"/>
          </w:tcPr>
          <w:p w14:paraId="459AC1B6">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r>
      <w:tr w14:paraId="5061C141">
        <w:tblPrEx>
          <w:tblCellMar>
            <w:top w:w="0" w:type="dxa"/>
            <w:left w:w="108" w:type="dxa"/>
            <w:bottom w:w="0" w:type="dxa"/>
            <w:right w:w="108" w:type="dxa"/>
          </w:tblCellMar>
        </w:tblPrEx>
        <w:trPr>
          <w:trHeight w:val="567" w:hRule="exact"/>
          <w:jc w:val="center"/>
        </w:trPr>
        <w:tc>
          <w:tcPr>
            <w:tcW w:w="4201" w:type="dxa"/>
            <w:vAlign w:val="center"/>
          </w:tcPr>
          <w:p w14:paraId="75557BF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c>
          <w:tcPr>
            <w:tcW w:w="4202" w:type="dxa"/>
            <w:vAlign w:val="center"/>
          </w:tcPr>
          <w:p w14:paraId="79BBD71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r>
      <w:tr w14:paraId="38D42757">
        <w:tblPrEx>
          <w:tblCellMar>
            <w:top w:w="0" w:type="dxa"/>
            <w:left w:w="108" w:type="dxa"/>
            <w:bottom w:w="0" w:type="dxa"/>
            <w:right w:w="108" w:type="dxa"/>
          </w:tblCellMar>
        </w:tblPrEx>
        <w:trPr>
          <w:trHeight w:val="567" w:hRule="exact"/>
          <w:jc w:val="center"/>
        </w:trPr>
        <w:tc>
          <w:tcPr>
            <w:tcW w:w="4201" w:type="dxa"/>
            <w:vAlign w:val="center"/>
          </w:tcPr>
          <w:p w14:paraId="7B9CE526">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c>
          <w:tcPr>
            <w:tcW w:w="4202" w:type="dxa"/>
            <w:vAlign w:val="center"/>
          </w:tcPr>
          <w:p w14:paraId="177C6EAA">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r>
      <w:tr w14:paraId="12DB5E97">
        <w:tblPrEx>
          <w:tblCellMar>
            <w:top w:w="0" w:type="dxa"/>
            <w:left w:w="108" w:type="dxa"/>
            <w:bottom w:w="0" w:type="dxa"/>
            <w:right w:w="108" w:type="dxa"/>
          </w:tblCellMar>
        </w:tblPrEx>
        <w:trPr>
          <w:trHeight w:val="567" w:hRule="exact"/>
          <w:jc w:val="center"/>
        </w:trPr>
        <w:tc>
          <w:tcPr>
            <w:tcW w:w="4201" w:type="dxa"/>
            <w:vAlign w:val="center"/>
          </w:tcPr>
          <w:p w14:paraId="186745E9">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c>
          <w:tcPr>
            <w:tcW w:w="4202" w:type="dxa"/>
            <w:vAlign w:val="center"/>
          </w:tcPr>
          <w:p w14:paraId="5285DAD1">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r>
    </w:tbl>
    <w:p w14:paraId="3FB14A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D69BF"/>
    <w:rsid w:val="37C25F06"/>
    <w:rsid w:val="71ED6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2026-04-23T06:56:00Z</dcterms:created>
  <dc:creator>不敗的意志</dc:creator>
  <cp:lastModifiedBy>不敗的意志</cp:lastModifiedBy>
  <dcterms:modified xsi:type="dcterms:W3CDTF">2026-04-23T07:03:40Z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FDFA9DCC320149B1974C39779F5FFCEE_11</vt:lpwstr>
  </property>
  <property fmtid="{D5CDD505-2E9C-101B-9397-08002B2CF9AE}" pid="4" name="KSOTemplateDocerSaveRecord">
    <vt:lpwstr>eyJoZGlkIjoiNjBjMzM4YmM1NjM1ZTdjNDA2OWNlNGU5NTU3OTNlNzAiLCJ1c2VySWQiOiI2MzYyOTEzMzIifQ==</vt:lpwstr>
  </property>
</Properties>
</file>