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版本号：ZD0526-004ZGX20260507003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科创公寓公租房项目幼儿园精装修工程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ZD0526-004ZGX</w:t>
      </w:r>
      <w:r>
        <w:br/>
      </w:r>
      <w:r>
        <w:br/>
      </w:r>
      <w:r>
        <w:br/>
      </w:r>
    </w:p>
    <w:p>
      <w:pPr>
        <w:pStyle w:val="null3"/>
        <w:jc w:val="center"/>
        <w:outlineLvl w:val="2"/>
      </w:pPr>
      <w:r>
        <w:rPr>
          <w:rFonts w:ascii="仿宋_GB2312" w:hAnsi="仿宋_GB2312" w:cs="仿宋_GB2312" w:eastAsia="仿宋_GB2312"/>
          <w:sz w:val="28"/>
          <w:b/>
        </w:rPr>
        <w:t>西安高新技术产业开发区保障性住房建设管理中心</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西安高新技术产业开发区保障性住房建设管理中心</w:t>
      </w:r>
      <w:r>
        <w:rPr>
          <w:rFonts w:ascii="仿宋_GB2312" w:hAnsi="仿宋_GB2312" w:cs="仿宋_GB2312" w:eastAsia="仿宋_GB2312"/>
        </w:rPr>
        <w:t>委托，拟对</w:t>
      </w:r>
      <w:r>
        <w:rPr>
          <w:rFonts w:ascii="仿宋_GB2312" w:hAnsi="仿宋_GB2312" w:cs="仿宋_GB2312" w:eastAsia="仿宋_GB2312"/>
        </w:rPr>
        <w:t>科创公寓公租房项目幼儿园精装修工程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ZD0526-004ZGX</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科创公寓公租房项目幼儿园精装修工程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工程包含各功能房间、门厅、楼梯、走道等部位精装修施工。具体以工程图纸、工程量清单及招标文件规定的所有内容及招标人现场管理要求为准。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采购包1（科创公寓公租房项目幼儿园精装修工程）：属于专门面向中小企业采购。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1、供应商及拟派项目经理资质要求：1.供应商须具备建筑装修装饰工程专业承包二级及以上(含二级)资质，且具备有效的安全生产许可证； 2.拟派项目负责人须具备建筑工程专业二级及以上(含二级)注册建造师证书和安全生产考核合格证（B证），在本单位注册，提供在本单位缴纳的社保记录（近3个月内任意一个月），且无在建工程； 3.企业及项目经理基本信息在“陕西省住房和城乡建设厅（https://js.s haanxi.gov.cn/）陕西省建筑市场监管与诚信信息发布平台”可查询。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西安高新技术产业开发区保障性住房建设管理中心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西安高新区丝路创智谷6号楼2楼203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唐一萌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029-89181345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采购包1：2,572,513.05元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代理服务费收费标准：按照发改价格〔2011〕534号文件、〔2015〕299号文件收费标准优惠50%计取。由中标人支付代理服务费，中标人在领取《中标通知书》之前，应当向代理机构交纳全额代理服务费。 代理服务费缴纳信息： 户 名：正大方略工程咨询有限公司 开户银行：西安银行东二环南段支行 账 号：209011580000076430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西安高新技术产业开发区保障性住房建设管理中心</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西安高新技术产业开发区保障性住房建设管理中心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西安高新技术产业开发区保障性住房建设管理中心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联系人：唐一萌</w:t>
      </w:r>
    </w:p>
    <w:p>
      <w:pPr>
        <w:pStyle w:val="null3"/>
      </w:pPr>
      <w:r>
        <w:rPr>
          <w:rFonts w:ascii="仿宋_GB2312" w:hAnsi="仿宋_GB2312" w:cs="仿宋_GB2312" w:eastAsia="仿宋_GB2312"/>
        </w:rPr>
        <w:t>联系电话：029-89181345</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2,572,513.05</w:t>
      </w:r>
    </w:p>
    <w:p>
      <w:pPr>
        <w:pStyle w:val="null3"/>
      </w:pPr>
      <w:r>
        <w:rPr>
          <w:rFonts w:ascii="仿宋_GB2312" w:hAnsi="仿宋_GB2312" w:cs="仿宋_GB2312" w:eastAsia="仿宋_GB2312"/>
        </w:rPr>
        <w:t>采购包最高限价（元）: 2,413,484.91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科创公寓公租房项目幼儿园精装修工程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2,572,513.05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标的名称：科创公寓公租房项目幼儿园精装修工程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一、项目名称</w:t>
            </w:r>
            <w:r>
              <w:br/>
            </w:r>
            <w:r>
              <w:rPr>
                <w:rFonts w:ascii="仿宋_GB2312" w:hAnsi="仿宋_GB2312" w:cs="仿宋_GB2312" w:eastAsia="仿宋_GB2312"/>
              </w:rPr>
              <w:t xml:space="preserve"> 科创公寓公租房项目幼儿园精装修工程</w:t>
            </w:r>
            <w:r>
              <w:br/>
            </w:r>
            <w:r>
              <w:rPr>
                <w:rFonts w:ascii="仿宋_GB2312" w:hAnsi="仿宋_GB2312" w:cs="仿宋_GB2312" w:eastAsia="仿宋_GB2312"/>
              </w:rPr>
              <w:t xml:space="preserve"> 二、项目概况</w:t>
            </w:r>
            <w:r>
              <w:br/>
            </w:r>
            <w:r>
              <w:rPr>
                <w:rFonts w:ascii="仿宋_GB2312" w:hAnsi="仿宋_GB2312" w:cs="仿宋_GB2312" w:eastAsia="仿宋_GB2312"/>
              </w:rPr>
              <w:t xml:space="preserve"> 科创公寓公租房项目位于天谷一路以南，天谷二路以北，云水一路以西，云水二路以东，占地约68.652 亩，总建筑面积约 175289.36平方米，建设公租房 1924套。</w:t>
            </w:r>
            <w:r>
              <w:br/>
            </w:r>
            <w:r>
              <w:rPr>
                <w:rFonts w:ascii="仿宋_GB2312" w:hAnsi="仿宋_GB2312" w:cs="仿宋_GB2312" w:eastAsia="仿宋_GB2312"/>
              </w:rPr>
              <w:t xml:space="preserve"> 三、采购方案</w:t>
            </w:r>
            <w:r>
              <w:br/>
            </w:r>
            <w:r>
              <w:rPr>
                <w:rFonts w:ascii="仿宋_GB2312" w:hAnsi="仿宋_GB2312" w:cs="仿宋_GB2312" w:eastAsia="仿宋_GB2312"/>
              </w:rPr>
              <w:t xml:space="preserve"> （一）采购范围</w:t>
            </w:r>
            <w:r>
              <w:br/>
            </w:r>
            <w:r>
              <w:rPr>
                <w:rFonts w:ascii="仿宋_GB2312" w:hAnsi="仿宋_GB2312" w:cs="仿宋_GB2312" w:eastAsia="仿宋_GB2312"/>
              </w:rPr>
              <w:t xml:space="preserve"> 科创公寓公租房项目幼儿园精装修工程包含精装修工程施工。具体详见施工图纸、工程量清单、招标文件规定的内容。</w:t>
            </w:r>
            <w:r>
              <w:br/>
            </w:r>
            <w:r>
              <w:rPr>
                <w:rFonts w:ascii="仿宋_GB2312" w:hAnsi="仿宋_GB2312" w:cs="仿宋_GB2312" w:eastAsia="仿宋_GB2312"/>
              </w:rPr>
              <w:t xml:space="preserve"> （二）采购组织方式</w:t>
            </w:r>
            <w:r>
              <w:br/>
            </w:r>
            <w:r>
              <w:rPr>
                <w:rFonts w:ascii="仿宋_GB2312" w:hAnsi="仿宋_GB2312" w:cs="仿宋_GB2312" w:eastAsia="仿宋_GB2312"/>
              </w:rPr>
              <w:t xml:space="preserve"> 依照《政府采购法》及西安市有关规定，宜采用政府采购方组织采购。</w:t>
            </w:r>
            <w:r>
              <w:br/>
            </w:r>
            <w:r>
              <w:rPr>
                <w:rFonts w:ascii="仿宋_GB2312" w:hAnsi="仿宋_GB2312" w:cs="仿宋_GB2312" w:eastAsia="仿宋_GB2312"/>
              </w:rPr>
              <w:t xml:space="preserve"> 四、技术要求</w:t>
            </w:r>
            <w:r>
              <w:br/>
            </w:r>
            <w:r>
              <w:rPr>
                <w:rFonts w:ascii="仿宋_GB2312" w:hAnsi="仿宋_GB2312" w:cs="仿宋_GB2312" w:eastAsia="仿宋_GB2312"/>
              </w:rPr>
              <w:t xml:space="preserve"> （一）投标人资格要求</w:t>
            </w:r>
            <w:r>
              <w:br/>
            </w:r>
            <w:r>
              <w:rPr>
                <w:rFonts w:ascii="仿宋_GB2312" w:hAnsi="仿宋_GB2312" w:cs="仿宋_GB2312" w:eastAsia="仿宋_GB2312"/>
              </w:rPr>
              <w:t xml:space="preserve"> 1、具备独立法人资格，具备有效的企业法人营业执照；</w:t>
            </w:r>
            <w:r>
              <w:br/>
            </w:r>
            <w:r>
              <w:rPr>
                <w:rFonts w:ascii="仿宋_GB2312" w:hAnsi="仿宋_GB2312" w:cs="仿宋_GB2312" w:eastAsia="仿宋_GB2312"/>
              </w:rPr>
              <w:t xml:space="preserve"> 2、供应商具有建筑装修装饰工程专业承包二级（含二级）以上资质，同时具有建设行政主管部门颁发的安全生产许可证；供应商拟派项目经理应具有建筑工程专业二级及以上注册建造师资质，并具有安全考核B证，在本单位注册；且无不良信用记录，无在建工程（提供承诺书）；</w:t>
            </w:r>
            <w:r>
              <w:br/>
            </w:r>
            <w:r>
              <w:rPr>
                <w:rFonts w:ascii="仿宋_GB2312" w:hAnsi="仿宋_GB2312" w:cs="仿宋_GB2312" w:eastAsia="仿宋_GB2312"/>
              </w:rPr>
              <w:t xml:space="preserve"> 3、信誉要求：企业及项目经理基本信息在“ 陕西省住房和城乡建设厅（https://js.shaanxi.gov.cn/）陕西省建筑市场监管与诚信信息发布平台”可查询。供应商未列入“失信被执行人” 、“重大税收违法案件当事人名单”和“政府采购严重违法失信行为记录名单”。</w:t>
            </w:r>
            <w:r>
              <w:br/>
            </w:r>
            <w:r>
              <w:rPr>
                <w:rFonts w:ascii="仿宋_GB2312" w:hAnsi="仿宋_GB2312" w:cs="仿宋_GB2312" w:eastAsia="仿宋_GB2312"/>
              </w:rPr>
              <w:t xml:space="preserve"> 4、不接受联合体投标。</w:t>
            </w:r>
            <w:r>
              <w:br/>
            </w:r>
            <w:r>
              <w:rPr>
                <w:rFonts w:ascii="仿宋_GB2312" w:hAnsi="仿宋_GB2312" w:cs="仿宋_GB2312" w:eastAsia="仿宋_GB2312"/>
              </w:rPr>
              <w:t xml:space="preserve">   （二）技术要求</w:t>
            </w:r>
            <w:r>
              <w:br/>
            </w:r>
            <w:r>
              <w:rPr>
                <w:rFonts w:ascii="仿宋_GB2312" w:hAnsi="仿宋_GB2312" w:cs="仿宋_GB2312" w:eastAsia="仿宋_GB2312"/>
              </w:rPr>
              <w:t xml:space="preserve"> 本工程的施工过程和成果必须符合国家有关工程建设标准强制性条文和国家或有关部门关于工程施工方面现行的标准、规范、规程、定额、办法、示例，以及陕西省关于工程施工方面的文件、规定。</w:t>
            </w:r>
            <w:r>
              <w:br/>
            </w:r>
            <w:r>
              <w:rPr>
                <w:rFonts w:ascii="仿宋_GB2312" w:hAnsi="仿宋_GB2312" w:cs="仿宋_GB2312" w:eastAsia="仿宋_GB2312"/>
              </w:rPr>
              <w:t xml:space="preserve"> 承包人在施工过程中使用或参考上述标准、规范以外的技术标准、规范时，应征得业主或业主指定代表人的同意。</w:t>
            </w:r>
            <w:r>
              <w:br/>
            </w:r>
            <w:r>
              <w:rPr>
                <w:rFonts w:ascii="仿宋_GB2312" w:hAnsi="仿宋_GB2312" w:cs="仿宋_GB2312" w:eastAsia="仿宋_GB2312"/>
              </w:rPr>
              <w:t xml:space="preserve"> 在施工过程中，如果国家或有关部门颁布了新的技术标准或规范，则承包人应采用新的标准或规范进行施工。</w:t>
            </w:r>
            <w:r>
              <w:br/>
            </w:r>
            <w:r>
              <w:rPr>
                <w:rFonts w:ascii="仿宋_GB2312" w:hAnsi="仿宋_GB2312" w:cs="仿宋_GB2312" w:eastAsia="仿宋_GB2312"/>
              </w:rPr>
              <w:t xml:space="preserve"> 1、依据设计文件的要求，本招标工程项目的材料、设备、施工须达到所涉及到的现行中华人民共和国以及省、自治区、直辖市或行业的工程建设标准、规范的要求。</w:t>
            </w:r>
            <w:r>
              <w:br/>
            </w:r>
            <w:r>
              <w:rPr>
                <w:rFonts w:ascii="仿宋_GB2312" w:hAnsi="仿宋_GB2312" w:cs="仿宋_GB2312" w:eastAsia="仿宋_GB2312"/>
              </w:rPr>
              <w:t xml:space="preserve"> 2、根据工程设计要求，该项工程项目的材料、设备、施工除必须达到上述第一条标准外，还应满足设计要求和业主的有关要求。</w:t>
            </w:r>
            <w:r>
              <w:br/>
            </w:r>
            <w:r>
              <w:rPr>
                <w:rFonts w:ascii="仿宋_GB2312" w:hAnsi="仿宋_GB2312" w:cs="仿宋_GB2312" w:eastAsia="仿宋_GB2312"/>
              </w:rPr>
              <w:t xml:space="preserve"> 3、该工程项目的材料、设备、施工如无上述第一、二条的标准，在材料、设备的定货采购和施工安装时，应出具生产厂家或施工安装企业在技术监督部门已备案企业标准，并经监理和业主批准后方可实施。</w:t>
            </w:r>
            <w:r>
              <w:br/>
            </w:r>
            <w:r>
              <w:rPr>
                <w:rFonts w:ascii="仿宋_GB2312" w:hAnsi="仿宋_GB2312" w:cs="仿宋_GB2312" w:eastAsia="仿宋_GB2312"/>
              </w:rPr>
              <w:t xml:space="preserve"> （三）标准依据：</w:t>
            </w:r>
            <w:r>
              <w:br/>
            </w:r>
            <w:r>
              <w:rPr>
                <w:rFonts w:ascii="仿宋_GB2312" w:hAnsi="仿宋_GB2312" w:cs="仿宋_GB2312" w:eastAsia="仿宋_GB2312"/>
              </w:rPr>
              <w:t xml:space="preserve"> 1.材料标准：</w:t>
            </w:r>
            <w:r>
              <w:br/>
            </w:r>
            <w:r>
              <w:rPr>
                <w:rFonts w:ascii="仿宋_GB2312" w:hAnsi="仿宋_GB2312" w:cs="仿宋_GB2312" w:eastAsia="仿宋_GB2312"/>
              </w:rPr>
              <w:t xml:space="preserve"> GB/T 3324-2024木家具通用技术条件</w:t>
            </w:r>
            <w:r>
              <w:br/>
            </w:r>
            <w:r>
              <w:rPr>
                <w:rFonts w:ascii="仿宋_GB2312" w:hAnsi="仿宋_GB2312" w:cs="仿宋_GB2312" w:eastAsia="仿宋_GB2312"/>
              </w:rPr>
              <w:t xml:space="preserve"> GB 24977-2010 卫浴家具</w:t>
            </w:r>
            <w:r>
              <w:br/>
            </w:r>
            <w:r>
              <w:rPr>
                <w:rFonts w:ascii="仿宋_GB2312" w:hAnsi="仿宋_GB2312" w:cs="仿宋_GB2312" w:eastAsia="仿宋_GB2312"/>
              </w:rPr>
              <w:t xml:space="preserve"> GB/T 2531-2010 厨房家具</w:t>
            </w:r>
            <w:r>
              <w:br/>
            </w:r>
            <w:r>
              <w:rPr>
                <w:rFonts w:ascii="仿宋_GB2312" w:hAnsi="仿宋_GB2312" w:cs="仿宋_GB2312" w:eastAsia="仿宋_GB2312"/>
              </w:rPr>
              <w:t xml:space="preserve"> GB18580-2017 室内装饰装修材料人造板及其制品中甲醛释放限量</w:t>
            </w:r>
            <w:r>
              <w:br/>
            </w:r>
            <w:r>
              <w:rPr>
                <w:rFonts w:ascii="仿宋_GB2312" w:hAnsi="仿宋_GB2312" w:cs="仿宋_GB2312" w:eastAsia="仿宋_GB2312"/>
              </w:rPr>
              <w:t xml:space="preserve"> GB18584-2008 室内装饰装修材料 木家具中有害物质限量</w:t>
            </w:r>
            <w:r>
              <w:br/>
            </w:r>
            <w:r>
              <w:rPr>
                <w:rFonts w:ascii="仿宋_GB2312" w:hAnsi="仿宋_GB2312" w:cs="仿宋_GB2312" w:eastAsia="仿宋_GB2312"/>
              </w:rPr>
              <w:t xml:space="preserve"> GB/T 18884-2015 家用厨房设备</w:t>
            </w:r>
            <w:r>
              <w:br/>
            </w:r>
            <w:r>
              <w:rPr>
                <w:rFonts w:ascii="仿宋_GB2312" w:hAnsi="仿宋_GB2312" w:cs="仿宋_GB2312" w:eastAsia="仿宋_GB2312"/>
              </w:rPr>
              <w:t xml:space="preserve"> GB/T 4897-2015 刨花板</w:t>
            </w:r>
            <w:r>
              <w:br/>
            </w:r>
            <w:r>
              <w:rPr>
                <w:rFonts w:ascii="仿宋_GB2312" w:hAnsi="仿宋_GB2312" w:cs="仿宋_GB2312" w:eastAsia="仿宋_GB2312"/>
              </w:rPr>
              <w:t xml:space="preserve"> GB/T 11718-2009 中密度纤维板</w:t>
            </w:r>
            <w:r>
              <w:br/>
            </w:r>
            <w:r>
              <w:rPr>
                <w:rFonts w:ascii="仿宋_GB2312" w:hAnsi="仿宋_GB2312" w:cs="仿宋_GB2312" w:eastAsia="仿宋_GB2312"/>
              </w:rPr>
              <w:t xml:space="preserve"> GB/T 15102-2017浸渍胶膜纸饰面人造板</w:t>
            </w:r>
            <w:r>
              <w:br/>
            </w:r>
            <w:r>
              <w:rPr>
                <w:rFonts w:ascii="仿宋_GB2312" w:hAnsi="仿宋_GB2312" w:cs="仿宋_GB2312" w:eastAsia="仿宋_GB2312"/>
              </w:rPr>
              <w:t xml:space="preserve"> GB/T 15104-2006 装饰单板贴面人造板</w:t>
            </w:r>
            <w:r>
              <w:br/>
            </w:r>
            <w:r>
              <w:rPr>
                <w:rFonts w:ascii="仿宋_GB2312" w:hAnsi="仿宋_GB2312" w:cs="仿宋_GB2312" w:eastAsia="仿宋_GB2312"/>
              </w:rPr>
              <w:t xml:space="preserve"> GB/T 3830-2008 软聚氯乙烯压延薄膜和片材</w:t>
            </w:r>
            <w:r>
              <w:br/>
            </w:r>
            <w:r>
              <w:rPr>
                <w:rFonts w:ascii="仿宋_GB2312" w:hAnsi="仿宋_GB2312" w:cs="仿宋_GB2312" w:eastAsia="仿宋_GB2312"/>
              </w:rPr>
              <w:t xml:space="preserve"> LY/T 1143-2006 饰面用浸渍胶膜纸</w:t>
            </w:r>
            <w:r>
              <w:br/>
            </w:r>
            <w:r>
              <w:rPr>
                <w:rFonts w:ascii="仿宋_GB2312" w:hAnsi="仿宋_GB2312" w:cs="仿宋_GB2312" w:eastAsia="仿宋_GB2312"/>
              </w:rPr>
              <w:t xml:space="preserve"> LY/T 1279-2020 聚氯乙烯薄膜饰面人造板</w:t>
            </w:r>
            <w:r>
              <w:br/>
            </w:r>
            <w:r>
              <w:rPr>
                <w:rFonts w:ascii="仿宋_GB2312" w:hAnsi="仿宋_GB2312" w:cs="仿宋_GB2312" w:eastAsia="仿宋_GB2312"/>
              </w:rPr>
              <w:t xml:space="preserve"> JC/T 644 人造玛瑙及人造大理石卫生洁具</w:t>
            </w:r>
            <w:r>
              <w:br/>
            </w:r>
            <w:r>
              <w:rPr>
                <w:rFonts w:ascii="仿宋_GB2312" w:hAnsi="仿宋_GB2312" w:cs="仿宋_GB2312" w:eastAsia="仿宋_GB2312"/>
              </w:rPr>
              <w:t xml:space="preserve"> QB/T 3832-1999 轻工产品金属镀层腐蚀试验结果的评价</w:t>
            </w:r>
            <w:r>
              <w:br/>
            </w:r>
            <w:r>
              <w:rPr>
                <w:rFonts w:ascii="仿宋_GB2312" w:hAnsi="仿宋_GB2312" w:cs="仿宋_GB2312" w:eastAsia="仿宋_GB2312"/>
              </w:rPr>
              <w:t xml:space="preserve"> JC 908-2013 实体面材</w:t>
            </w:r>
            <w:r>
              <w:br/>
            </w:r>
            <w:r>
              <w:rPr>
                <w:rFonts w:ascii="仿宋_GB2312" w:hAnsi="仿宋_GB2312" w:cs="仿宋_GB2312" w:eastAsia="仿宋_GB2312"/>
              </w:rPr>
              <w:t xml:space="preserve"> GB/T9846-2015《普通胶合板》</w:t>
            </w:r>
            <w:r>
              <w:br/>
            </w:r>
            <w:r>
              <w:rPr>
                <w:rFonts w:ascii="仿宋_GB2312" w:hAnsi="仿宋_GB2312" w:cs="仿宋_GB2312" w:eastAsia="仿宋_GB2312"/>
              </w:rPr>
              <w:t xml:space="preserve"> 2.设计与图纸标准：</w:t>
            </w:r>
            <w:r>
              <w:br/>
            </w:r>
            <w:r>
              <w:rPr>
                <w:rFonts w:ascii="仿宋_GB2312" w:hAnsi="仿宋_GB2312" w:cs="仿宋_GB2312" w:eastAsia="仿宋_GB2312"/>
              </w:rPr>
              <w:t xml:space="preserve"> GB 50222-2017建筑内部装修设计防火规范</w:t>
            </w:r>
            <w:r>
              <w:br/>
            </w:r>
            <w:r>
              <w:rPr>
                <w:rFonts w:ascii="仿宋_GB2312" w:hAnsi="仿宋_GB2312" w:cs="仿宋_GB2312" w:eastAsia="仿宋_GB2312"/>
              </w:rPr>
              <w:t xml:space="preserve"> 注：以上国家、行业标准执行时均以最新版本为准。</w:t>
            </w:r>
            <w:r>
              <w:br/>
            </w:r>
            <w:r>
              <w:rPr>
                <w:rFonts w:ascii="仿宋_GB2312" w:hAnsi="仿宋_GB2312" w:cs="仿宋_GB2312" w:eastAsia="仿宋_GB2312"/>
              </w:rPr>
              <w:t xml:space="preserve"> 1.地面铺贴工程</w:t>
            </w:r>
            <w:r>
              <w:br/>
            </w:r>
            <w:r>
              <w:rPr>
                <w:rFonts w:ascii="仿宋_GB2312" w:hAnsi="仿宋_GB2312" w:cs="仿宋_GB2312" w:eastAsia="仿宋_GB2312"/>
              </w:rPr>
              <w:t xml:space="preserve"> （1）地面铺贴在选材上要达到规格尺寸方正，表面平整光滑，不能有缺边掉角、裂纹及污染变色、无崩边崩角开裂现象等缺陷。</w:t>
            </w:r>
            <w:r>
              <w:br/>
            </w:r>
            <w:r>
              <w:rPr>
                <w:rFonts w:ascii="仿宋_GB2312" w:hAnsi="仿宋_GB2312" w:cs="仿宋_GB2312" w:eastAsia="仿宋_GB2312"/>
              </w:rPr>
              <w:t xml:space="preserve"> （2）在图纸设计要求的基础上,对地砖色彩、纹理、表面平整等进行严格的挑选。然后按照图纸要求预铺。对于预铺中可能出现的尺寸、色彩、纹理误差等进行调整、交换，直至达到最佳效果,按铺贴顺序堆放整齐备用。同一房间的面砖应使用同批次材料。墙面由阳角开始排砖，阳角和门口两侧必须设整砖，主立面压侧立面，阳面压阴面，不得出现小于10公分瓷砖；排版深化图须经设计师确认后才能施工。面板、地漏不允许骑缝；</w:t>
            </w:r>
            <w:r>
              <w:br/>
            </w:r>
            <w:r>
              <w:rPr>
                <w:rFonts w:ascii="仿宋_GB2312" w:hAnsi="仿宋_GB2312" w:cs="仿宋_GB2312" w:eastAsia="仿宋_GB2312"/>
              </w:rPr>
              <w:t xml:space="preserve"> （3）过门石选择要求：</w:t>
            </w:r>
            <w:r>
              <w:br/>
            </w:r>
            <w:r>
              <w:rPr>
                <w:rFonts w:ascii="仿宋_GB2312" w:hAnsi="仿宋_GB2312" w:cs="仿宋_GB2312" w:eastAsia="仿宋_GB2312"/>
              </w:rPr>
              <w:t xml:space="preserve"> ①表面无蜂窝砂眼，无明显修补痕迹；</w:t>
            </w:r>
            <w:r>
              <w:br/>
            </w:r>
            <w:r>
              <w:rPr>
                <w:rFonts w:ascii="仿宋_GB2312" w:hAnsi="仿宋_GB2312" w:cs="仿宋_GB2312" w:eastAsia="仿宋_GB2312"/>
              </w:rPr>
              <w:t xml:space="preserve"> ②无明显断裂破损、石材病理等；</w:t>
            </w:r>
            <w:r>
              <w:br/>
            </w:r>
            <w:r>
              <w:rPr>
                <w:rFonts w:ascii="仿宋_GB2312" w:hAnsi="仿宋_GB2312" w:cs="仿宋_GB2312" w:eastAsia="仿宋_GB2312"/>
              </w:rPr>
              <w:t xml:space="preserve"> ③门槛石高差部位有导边、宽度与门套匹配，木门槛落地在压过门石上；倒边3*3mm.</w:t>
            </w:r>
            <w:r>
              <w:br/>
            </w:r>
            <w:r>
              <w:rPr>
                <w:rFonts w:ascii="仿宋_GB2312" w:hAnsi="仿宋_GB2312" w:cs="仿宋_GB2312" w:eastAsia="仿宋_GB2312"/>
              </w:rPr>
              <w:t xml:space="preserve"> （4）涂料工程</w:t>
            </w:r>
            <w:r>
              <w:br/>
            </w:r>
            <w:r>
              <w:rPr>
                <w:rFonts w:ascii="仿宋_GB2312" w:hAnsi="仿宋_GB2312" w:cs="仿宋_GB2312" w:eastAsia="仿宋_GB2312"/>
              </w:rPr>
              <w:t xml:space="preserve"> ①腻子选用符合JG/3O49《建筑室内用腻子》要求的成品腻子,应坚实、牢固,不得粉化、起皮和开裂。底涂料:水性涂料,与面涂料有良好的配套性。</w:t>
            </w:r>
            <w:r>
              <w:br/>
            </w:r>
            <w:r>
              <w:rPr>
                <w:rFonts w:ascii="仿宋_GB2312" w:hAnsi="仿宋_GB2312" w:cs="仿宋_GB2312" w:eastAsia="仿宋_GB2312"/>
              </w:rPr>
              <w:t xml:space="preserve"> ②当面涂料为乳胶漆时，应符合GB/T 9755-2024《合成树脂乳液墙面涂料》的规定。</w:t>
            </w:r>
            <w:r>
              <w:br/>
            </w:r>
            <w:r>
              <w:rPr>
                <w:rFonts w:ascii="仿宋_GB2312" w:hAnsi="仿宋_GB2312" w:cs="仿宋_GB2312" w:eastAsia="仿宋_GB2312"/>
              </w:rPr>
              <w:t xml:space="preserve"> （5）吊顶工程</w:t>
            </w:r>
            <w:r>
              <w:br/>
            </w:r>
            <w:r>
              <w:rPr>
                <w:rFonts w:ascii="仿宋_GB2312" w:hAnsi="仿宋_GB2312" w:cs="仿宋_GB2312" w:eastAsia="仿宋_GB2312"/>
              </w:rPr>
              <w:t xml:space="preserve"> ①吊顶标高、尺寸、起拱和造型应符合设计要求。</w:t>
            </w:r>
            <w:r>
              <w:br/>
            </w:r>
            <w:r>
              <w:rPr>
                <w:rFonts w:ascii="仿宋_GB2312" w:hAnsi="仿宋_GB2312" w:cs="仿宋_GB2312" w:eastAsia="仿宋_GB2312"/>
              </w:rPr>
              <w:t xml:space="preserve"> ②吊杆、龙骨的材质、规格、安装间距及连接方式应符合GB/T 11981-2024《建筑用轻钢龙骨》要求。</w:t>
            </w:r>
            <w:r>
              <w:br/>
            </w:r>
            <w:r>
              <w:rPr>
                <w:rFonts w:ascii="仿宋_GB2312" w:hAnsi="仿宋_GB2312" w:cs="仿宋_GB2312" w:eastAsia="仿宋_GB2312"/>
              </w:rPr>
              <w:t xml:space="preserve"> ③安装双层石膏板时，面层板与基层板的接缝应错开。并不得在同一根龙骨上接缝。</w:t>
            </w:r>
            <w:r>
              <w:br/>
            </w:r>
            <w:r>
              <w:rPr>
                <w:rFonts w:ascii="仿宋_GB2312" w:hAnsi="仿宋_GB2312" w:cs="仿宋_GB2312" w:eastAsia="仿宋_GB2312"/>
              </w:rPr>
              <w:t xml:space="preserve"> ④吊顶上的灯具、烟感器、喷淋头、风口等设备的位置应合理、美观,与饰面板的交接应吻合、严密。</w:t>
            </w:r>
            <w:r>
              <w:br/>
            </w:r>
            <w:r>
              <w:rPr>
                <w:rFonts w:ascii="仿宋_GB2312" w:hAnsi="仿宋_GB2312" w:cs="仿宋_GB2312" w:eastAsia="仿宋_GB2312"/>
              </w:rPr>
              <w:t xml:space="preserve"> ⑤铝扣板天花的材质、品种、式样、规格应符合设计要求。灯具、排气扇等需整版居中或跨版居中安装。设备标识方向一致，铝扣板排版应符合设计要求。</w:t>
            </w:r>
            <w:r>
              <w:br/>
            </w:r>
            <w:r>
              <w:rPr>
                <w:rFonts w:ascii="仿宋_GB2312" w:hAnsi="仿宋_GB2312" w:cs="仿宋_GB2312" w:eastAsia="仿宋_GB2312"/>
              </w:rPr>
              <w:t xml:space="preserve"> （6）电气安装</w:t>
            </w:r>
            <w:r>
              <w:br/>
            </w:r>
            <w:r>
              <w:rPr>
                <w:rFonts w:ascii="仿宋_GB2312" w:hAnsi="仿宋_GB2312" w:cs="仿宋_GB2312" w:eastAsia="仿宋_GB2312"/>
              </w:rPr>
              <w:t xml:space="preserve"> ①灯具及开关插座定位、数量、款式应符合设计要求。</w:t>
            </w:r>
            <w:r>
              <w:br/>
            </w:r>
            <w:r>
              <w:rPr>
                <w:rFonts w:ascii="仿宋_GB2312" w:hAnsi="仿宋_GB2312" w:cs="仿宋_GB2312" w:eastAsia="仿宋_GB2312"/>
              </w:rPr>
              <w:t xml:space="preserve"> ②选材无机械损伤，变形、涂层脱落和灯罩破裂等缺陷。</w:t>
            </w:r>
            <w:r>
              <w:br/>
            </w:r>
            <w:r>
              <w:rPr>
                <w:rFonts w:ascii="仿宋_GB2312" w:hAnsi="仿宋_GB2312" w:cs="仿宋_GB2312" w:eastAsia="仿宋_GB2312"/>
              </w:rPr>
              <w:t xml:space="preserve"> ③同一室内的面板或开关，其开关方向应一致，向下为开，向上为关。成排安装的开关，高度一致整齐。</w:t>
            </w:r>
            <w:r>
              <w:br/>
            </w:r>
            <w:r>
              <w:rPr>
                <w:rFonts w:ascii="仿宋_GB2312" w:hAnsi="仿宋_GB2312" w:cs="仿宋_GB2312" w:eastAsia="仿宋_GB2312"/>
              </w:rPr>
              <w:t xml:space="preserve"> （7）玻璃安装工程</w:t>
            </w:r>
            <w:r>
              <w:br/>
            </w:r>
            <w:r>
              <w:rPr>
                <w:rFonts w:ascii="仿宋_GB2312" w:hAnsi="仿宋_GB2312" w:cs="仿宋_GB2312" w:eastAsia="仿宋_GB2312"/>
              </w:rPr>
              <w:t xml:space="preserve"> ①玻璃安装应符合《建筑玻璃应用技术规程》JGJ113-2015规范要求。</w:t>
            </w:r>
            <w:r>
              <w:br/>
            </w:r>
            <w:r>
              <w:rPr>
                <w:rFonts w:ascii="仿宋_GB2312" w:hAnsi="仿宋_GB2312" w:cs="仿宋_GB2312" w:eastAsia="仿宋_GB2312"/>
              </w:rPr>
              <w:t xml:space="preserve"> ②玻璃种类按设计要求选用;</w:t>
            </w:r>
            <w:r>
              <w:br/>
            </w:r>
            <w:r>
              <w:rPr>
                <w:rFonts w:ascii="仿宋_GB2312" w:hAnsi="仿宋_GB2312" w:cs="仿宋_GB2312" w:eastAsia="仿宋_GB2312"/>
              </w:rPr>
              <w:t xml:space="preserve"> ③光镜面确保无霉点。</w:t>
            </w:r>
            <w:r>
              <w:br/>
            </w:r>
            <w:r>
              <w:rPr>
                <w:rFonts w:ascii="仿宋_GB2312" w:hAnsi="仿宋_GB2312" w:cs="仿宋_GB2312" w:eastAsia="仿宋_GB2312"/>
              </w:rPr>
              <w:t xml:space="preserve"> （8）户内门工程</w:t>
            </w:r>
            <w:r>
              <w:br/>
            </w:r>
            <w:r>
              <w:rPr>
                <w:rFonts w:ascii="仿宋_GB2312" w:hAnsi="仿宋_GB2312" w:cs="仿宋_GB2312" w:eastAsia="仿宋_GB2312"/>
              </w:rPr>
              <w:t xml:space="preserve"> 户内免漆门的要求</w:t>
            </w:r>
            <w:r>
              <w:br/>
            </w:r>
            <w:r>
              <w:rPr>
                <w:rFonts w:ascii="仿宋_GB2312" w:hAnsi="仿宋_GB2312" w:cs="仿宋_GB2312" w:eastAsia="仿宋_GB2312"/>
              </w:rPr>
              <w:t xml:space="preserve"> ①表面贴膜无污染、划伤；</w:t>
            </w:r>
            <w:r>
              <w:br/>
            </w:r>
            <w:r>
              <w:rPr>
                <w:rFonts w:ascii="仿宋_GB2312" w:hAnsi="仿宋_GB2312" w:cs="仿宋_GB2312" w:eastAsia="仿宋_GB2312"/>
              </w:rPr>
              <w:t xml:space="preserve"> ②无修补痕迹、色差、钉眼；</w:t>
            </w:r>
            <w:r>
              <w:br/>
            </w:r>
            <w:r>
              <w:rPr>
                <w:rFonts w:ascii="仿宋_GB2312" w:hAnsi="仿宋_GB2312" w:cs="仿宋_GB2312" w:eastAsia="仿宋_GB2312"/>
              </w:rPr>
              <w:t xml:space="preserve"> ③相邻门框高差不超过10mm；</w:t>
            </w:r>
            <w:r>
              <w:br/>
            </w:r>
            <w:r>
              <w:rPr>
                <w:rFonts w:ascii="仿宋_GB2312" w:hAnsi="仿宋_GB2312" w:cs="仿宋_GB2312" w:eastAsia="仿宋_GB2312"/>
              </w:rPr>
              <w:t xml:space="preserve"> ④门套下料根据实测，门套落地离地缝不大于1.5mm，门贴下料与墙面缝隙严密且均匀，离墙缝隙不大于1mm，45度拼缝对位，门楣无翘角、偏位、大小头。</w:t>
            </w:r>
            <w:r>
              <w:br/>
            </w:r>
            <w:r>
              <w:rPr>
                <w:rFonts w:ascii="仿宋_GB2312" w:hAnsi="仿宋_GB2312" w:cs="仿宋_GB2312" w:eastAsia="仿宋_GB2312"/>
              </w:rPr>
              <w:t xml:space="preserve"> 塑钢门的要求</w:t>
            </w:r>
            <w:r>
              <w:br/>
            </w:r>
            <w:r>
              <w:rPr>
                <w:rFonts w:ascii="仿宋_GB2312" w:hAnsi="仿宋_GB2312" w:cs="仿宋_GB2312" w:eastAsia="仿宋_GB2312"/>
              </w:rPr>
              <w:t xml:space="preserve"> ①表面无污染、刮花、变形；</w:t>
            </w:r>
            <w:r>
              <w:br/>
            </w:r>
            <w:r>
              <w:rPr>
                <w:rFonts w:ascii="仿宋_GB2312" w:hAnsi="仿宋_GB2312" w:cs="仿宋_GB2312" w:eastAsia="仿宋_GB2312"/>
              </w:rPr>
              <w:t xml:space="preserve"> ②型材拼接口平顺、对缝；</w:t>
            </w:r>
            <w:r>
              <w:br/>
            </w:r>
            <w:r>
              <w:rPr>
                <w:rFonts w:ascii="仿宋_GB2312" w:hAnsi="仿宋_GB2312" w:cs="仿宋_GB2312" w:eastAsia="仿宋_GB2312"/>
              </w:rPr>
              <w:t xml:space="preserve"> ③无修补痕迹；</w:t>
            </w:r>
            <w:r>
              <w:br/>
            </w:r>
            <w:r>
              <w:rPr>
                <w:rFonts w:ascii="仿宋_GB2312" w:hAnsi="仿宋_GB2312" w:cs="仿宋_GB2312" w:eastAsia="仿宋_GB2312"/>
              </w:rPr>
              <w:t xml:space="preserve"> ④门框、扇安装位置、门款式,开启方向,使用功能必须符合设计要求。</w:t>
            </w:r>
            <w:r>
              <w:br/>
            </w:r>
            <w:r>
              <w:rPr>
                <w:rFonts w:ascii="仿宋_GB2312" w:hAnsi="仿宋_GB2312" w:cs="仿宋_GB2312" w:eastAsia="仿宋_GB2312"/>
              </w:rPr>
              <w:t xml:space="preserve"> ⑤门扇必须安装牢固,隔音、防火、密封做法正确,符合设计要求。</w:t>
            </w:r>
            <w:r>
              <w:br/>
            </w:r>
            <w:r>
              <w:rPr>
                <w:rFonts w:ascii="仿宋_GB2312" w:hAnsi="仿宋_GB2312" w:cs="仿宋_GB2312" w:eastAsia="仿宋_GB2312"/>
              </w:rPr>
              <w:t xml:space="preserve"> ⑥门扇应栽口顺直,创面平整、光滑、无锤印。开关严密、回弹灵活、无翘曲和变形。</w:t>
            </w:r>
            <w:r>
              <w:br/>
            </w:r>
            <w:r>
              <w:rPr>
                <w:rFonts w:ascii="仿宋_GB2312" w:hAnsi="仿宋_GB2312" w:cs="仿宋_GB2312" w:eastAsia="仿宋_GB2312"/>
              </w:rPr>
              <w:t xml:space="preserve"> 门锁、五金等</w:t>
            </w:r>
            <w:r>
              <w:br/>
            </w:r>
            <w:r>
              <w:rPr>
                <w:rFonts w:ascii="仿宋_GB2312" w:hAnsi="仿宋_GB2312" w:cs="仿宋_GB2312" w:eastAsia="仿宋_GB2312"/>
              </w:rPr>
              <w:t xml:space="preserve"> ①门五金规格符合设计要求。铰链、门锁、拉手、插销、小五金、猫眼、门吸等五金齐全,表面清洁、使用灵活，无锈蚀、损坏、凹痕、划痕、污染。</w:t>
            </w:r>
            <w:r>
              <w:br/>
            </w:r>
            <w:r>
              <w:rPr>
                <w:rFonts w:ascii="仿宋_GB2312" w:hAnsi="仿宋_GB2312" w:cs="仿宋_GB2312" w:eastAsia="仿宋_GB2312"/>
              </w:rPr>
              <w:t xml:space="preserve"> 工期：90日历天</w:t>
            </w:r>
            <w:r>
              <w:br/>
            </w:r>
            <w:r>
              <w:rPr>
                <w:rFonts w:ascii="仿宋_GB2312" w:hAnsi="仿宋_GB2312" w:cs="仿宋_GB2312" w:eastAsia="仿宋_GB2312"/>
              </w:rPr>
              <w:t xml:space="preserve"> 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工期：90日历天；质量标准：合格。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法定代表人（单位负责人）参加磋商的，提供本人身份证复印件并出示身份证；法定代表人（单位负责人）授权他人参加磋商的，提供法定代表人（单位负责人）委托授权书并出示被授权代表的身份证及在本单位的社保证明（近3个月内任意一个月）。3.提供《基本资格条件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供应商及拟派项目经理资质要求</w:t>
            </w:r>
          </w:p>
        </w:tc>
        <w:tc>
          <w:tcPr>
            <w:tcW w:type="dxa" w:w="3322"/>
          </w:tcPr>
          <w:p>
            <w:pPr>
              <w:pStyle w:val="null3"/>
            </w:pPr>
            <w:r>
              <w:rPr>
                <w:rFonts w:ascii="仿宋_GB2312" w:hAnsi="仿宋_GB2312" w:cs="仿宋_GB2312" w:eastAsia="仿宋_GB2312"/>
              </w:rPr>
              <w:t>1.供应商须具备建筑装修装饰工程专业承包二级及以上(含二级)资质，且具备有效的安全生产许可证； 2.拟派项目负责人须具备建筑工程专业二级及以上(含二级)注册建造师证书和安全生产考核合格证（B证），在本单位注册，提供在本单位缴纳的社保记录（近3个月内任意一个月），且无在建工程； 3.企业及项目经理基本信息在“陕西省住房和城乡建设厅（https://js.s haanxi.gov.cn/）陕西省建筑市场监管与诚信信息发布平台”可查询。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异常低价投标审查程序： 在评审中出现下列情形之一的，评标委员会应当启动异常低价投标审查程序：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（3）投标报价低于采购项目最高限价50%的，即投标报价&lt;采购项目最高限价×50%；  （4）评标委员会基于专业判断，认为供应商报价过低，有可能影响产品质量或者不能诚信履约的其他情形。 　　相关法律法规对投标人报价有规定的，从其规定。 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异常低价投标审查的启动原因、审查意见和审查结果应当在评审报告中记录，并随投标人提供的相关书面说明及证明材料，以及评标委员会有关互联网浏览、查询历史一并归档。  在评标过程中，发现评标委员会未按规定对异常低价开展审查的，采购人、采购代理机构应当予以纠正，拒不改正的，应当及时报告同级财政部门。  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已标价工程量清单 合同条款偏离表 中小企业声明函 其他承诺 供应商应提交的相关资格证明材料 技术、服务及其他商务要求应答表 首次磋商报价表 响应文件封面 业绩的相关证明材料 技术方案响应说明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响应报价未超过最高限价</w:t>
            </w:r>
          </w:p>
        </w:tc>
        <w:tc>
          <w:tcPr>
            <w:tcW w:type="dxa" w:w="1661"/>
          </w:tcPr>
          <w:p>
            <w:pPr>
              <w:pStyle w:val="null3"/>
            </w:pPr>
            <w:r>
              <w:rPr>
                <w:rFonts w:ascii="仿宋_GB2312" w:hAnsi="仿宋_GB2312" w:cs="仿宋_GB2312" w:eastAsia="仿宋_GB2312"/>
              </w:rPr>
              <w:t>已标价工程量清单 报价函 标的清单 首次磋商报价表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技术方案响应说明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工程质量标准</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技术方案响应说明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提供已标价工程量清单并满足采购文件要求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工程技术标准与服务要求</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技术方案响应说明</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包括不限于组织安排、各方协调等，总体思路清晰、合理、可操作性强、可执行程度高，能很好推动项目计5分；包括不限于组织安排、各方协调等，方案总体思路较为清晰、合理、可操作性较强、可执行程度较强计4分；包括不限于组织安排、各方协调等，方案总体内容涵盖齐全计3分；包括不限于组织安排、各方协调等，方案总体内容涵盖不完整计2分；方案内容粗略不全面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服务内容提供具体详细的实施方案，方案总体思路清晰，实施方法及工作安排合理，涵盖内容全面，针对性操作性欠缺得4分； 提供较为具体的实施方案，方案总体思路较清晰，实施方法及工作安排较合理，涵盖内容较全面，无针对性得3分；提供实施方案涵盖内容不全面，无法保证项目质量得2分；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采用新技术、新工艺对提供工程质量、缩短工期、降低造价的可行性</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 服务内容提供具体详细的实施方案，方案总体思路清晰，实施方法及工作安排合理，涵盖内容全面，针对性操作性欠缺得4分； 提供较为具体的实施方案，方案总体思路较清晰，实施方法及工作安排较合理，涵盖内容较全面，无针对性得3分； 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按有关规定及要求做好防尘降噪措施</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 服务内容提供具体详细的实施方案，方案总体思路清晰，实施方法及工作安排合理，涵盖内容全面，针对性操作性欠缺得4分； 提供较为具体的实施方案，方案总体思路较清晰，实施方法及工作安排较合理，涵盖内容较全面，无针对性得3分； 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施工安全措施</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 服务内容提供具体详细的实施方案，方案总体思路清晰，实施方法及工作安排合理，涵盖内容全面，针对性操作性欠缺得4分； 提供较为具体的实施方案，方案总体思路较清晰，实施方法及工作安排较合理，涵盖内容较全面，无针对性得3分； 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文明施工及环保措施</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 服务内容提供具体详细的实施方案，方案总体思路清晰，实施方法及工作安排合理，涵盖内容全面，针对性操作性欠缺得4分； 提供较为具体的实施方案，方案总体思路较清晰，实施方法及工作安排较合理，涵盖内容较全面，无针对性得3分； 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 服务内容提供具体详细的实施方案，方案总体思路清晰，实施方法及工作安排合理，涵盖内容全面，针对性操作性欠缺得4分； 提供较为具体的实施方案，方案总体思路较清晰，实施方法及工作安排较合理，涵盖内容较全面，无针对性得3分； 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确保工程进度的技术组织措施</w:t>
            </w:r>
          </w:p>
        </w:tc>
        <w:tc>
          <w:tcPr>
            <w:tcW w:type="dxa" w:w="2492"/>
          </w:tcPr>
          <w:p>
            <w:pPr>
              <w:pStyle w:val="null3"/>
            </w:pPr>
            <w:r>
              <w:rPr>
                <w:rFonts w:ascii="仿宋_GB2312" w:hAnsi="仿宋_GB2312" w:cs="仿宋_GB2312" w:eastAsia="仿宋_GB2312"/>
              </w:rPr>
              <w:t>提供具体详细的实施方案，方案总体思路清晰，实施方法及工作安排合理，涵盖内容全面，针对性操作性强得5分； 服务内容提供具体详细的实施方案，方案总体思路清晰，实施方法及工作安排合理，涵盖内容全面，针对性操作性欠缺得4分； 提供较为具体的实施方案，方案总体思路较清晰，实施方法及工作安排较合理，涵盖内容较全面，无针对性得3分； 提供实施方案涵盖内容不全面，无法保证项目质量得2分； 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拟投入机械设备安排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投入计划专门针对本项目编制，符合项目实际情况及实施要求，内容详尽且涵盖角度基本全面，有一定的合理性和可行性的，得4分； 投入计划专门针对本项目编制，基本符合项目实际情况及实施要求，内容较详细，涵盖角度较全面，基本合理可行的，得3分； 投入计划专门针对本项目编制，基本符合项目实际情况及实施要求，但方案涵盖角度不全面且实施有难度的，得2分；投入计划内容简单笼统，实施难度大的，得1分；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劳动力投入计划安排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投入计划专门针对本项目编制，符合项目实际情况及实施要求，内容详尽且涵盖角度基本全面，有一定的合理性和可行性的，得4分； 投入计划专门针对本项目编制，基本符合项目实际情况及实施要求，内容较详细，涵盖角度较全面，基本合理可行的，得3分； 投入计划专门针对本项目编制，基本符合项目实际情况及实施要求，但方案涵盖角度不全面且实施有难度的，得2分；投入计划内容简单笼统，实施难度大的，得1分；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具备高级工程师及以上职称得2分，其他职称得1分。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项目部组成科学合理、人员表配置充足，有详细的人员配置清单，针对性强，能够很好的满足项目需求，得3分； 项目部组成科学合理、人员表配置齐全，有详细的人员配置清单，有一定的针对性，满足项目需求，得2分； 项目部组成人员缺乏科学合理性，无人员配置清单，无法满足项目需求，得1分；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提供健全可靠的突发事件应急处理方案，从应急调配能力及意外事故处理方案等方面进行打分，方案内容完整，针对性可行性强，确保出现突发性事件时能高效的解决突发性事件得3分；方案内容完整，有较强的可行性，确保出现突发性事件时能及时的解决得2分； 方案内容描述简略，无法保证突发性事件得到有效的解决得1分。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评审内容：承诺在配合服务过程中接受采购人监督管理，如出现服务质量不能满足需求或未履行承诺时愿意接受相关经济处罚。 评审标准： 专门针对本项目编制，符合项目实际情况及实施要求，内容详尽且涵盖角度全面，合理性和可行性强，保障充分得5分； 专门针对本项目编制，符合项目实际情况及实施要求，内容详尽且涵盖角度基本全面，有一定的合理性和可行性的得4分； 专门针对本项目编制，基本符合项目实际情况及实施要求，内容较详细，涵盖角度较全面，基本合理可行的得3分； 方案专门针对本项目编制，基本符合项目实际情况及实施要求，但涵盖角度不全面且实施有难度的得2分； 承诺方案内容简单笼统，实施难度大的，得1分。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从节约资金、各方配合、可行性等方面综合考虑，建议内容详细具体、针对性强得2分；建议内容详细具体、针对性较强得1分；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2023年1月至今类似项目业绩，每提供一份类似项目业绩合同得1分，满分5分。（以合同签订时间为准）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详见附件：首次磋商报价表</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详见附件：其他承诺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详见附件：科创公寓公租房项目幼儿园精装修工程施工合同.docx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