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版本号：CT-ZB00-044-202620260429001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庞光街道农村生活污水治理设施运行维护项目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CT-ZB00-044-2026</w:t>
      </w:r>
      <w:r>
        <w:br/>
      </w:r>
      <w:r>
        <w:br/>
      </w:r>
      <w:r>
        <w:br/>
      </w:r>
    </w:p>
    <w:p>
      <w:pPr>
        <w:pStyle w:val="null3"/>
        <w:jc w:val="center"/>
        <w:outlineLvl w:val="2"/>
      </w:pPr>
      <w:r>
        <w:rPr>
          <w:rFonts w:ascii="仿宋_GB2312" w:hAnsi="仿宋_GB2312" w:cs="仿宋_GB2312" w:eastAsia="仿宋_GB2312"/>
          <w:sz w:val="28"/>
          <w:b/>
        </w:rPr>
        <w:t>西安市鄠邑区庞光街道办事处</w:t>
      </w:r>
    </w:p>
    <w:p>
      <w:pPr>
        <w:pStyle w:val="null3"/>
        <w:jc w:val="center"/>
        <w:outlineLvl w:val="2"/>
      </w:pPr>
      <w:r>
        <w:rPr>
          <w:rFonts w:ascii="仿宋_GB2312" w:hAnsi="仿宋_GB2312" w:cs="仿宋_GB2312" w:eastAsia="仿宋_GB2312"/>
          <w:sz w:val="28"/>
          <w:b/>
        </w:rPr>
        <w:t>中昕国际项目管理有限公司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中昕国际项目管理有限公司</w:t>
      </w:r>
      <w:r>
        <w:rPr>
          <w:rFonts w:ascii="仿宋_GB2312" w:hAnsi="仿宋_GB2312" w:cs="仿宋_GB2312" w:eastAsia="仿宋_GB2312"/>
        </w:rPr>
        <w:t>（以下简称“代理机构”）受</w:t>
      </w:r>
      <w:r>
        <w:rPr>
          <w:rFonts w:ascii="仿宋_GB2312" w:hAnsi="仿宋_GB2312" w:cs="仿宋_GB2312" w:eastAsia="仿宋_GB2312"/>
        </w:rPr>
        <w:t>西安市鄠邑区庞光街道办事处</w:t>
      </w:r>
      <w:r>
        <w:rPr>
          <w:rFonts w:ascii="仿宋_GB2312" w:hAnsi="仿宋_GB2312" w:cs="仿宋_GB2312" w:eastAsia="仿宋_GB2312"/>
        </w:rPr>
        <w:t>委托，拟对</w:t>
      </w:r>
      <w:r>
        <w:rPr>
          <w:rFonts w:ascii="仿宋_GB2312" w:hAnsi="仿宋_GB2312" w:cs="仿宋_GB2312" w:eastAsia="仿宋_GB2312"/>
        </w:rPr>
        <w:t>庞光街道农村生活污水治理设施运行维护项目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CT-ZB00-044-2026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庞光街道农村生活污水治理设施运行维护项目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庞光街道农村生活污水治理设施运行维护项目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采购包1（西安高新区庞光街道农村生活污水治理设施运行维护项目）：属于专门面向中小企业采购。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1、法定代表人授权书：提供法定代表人授权书（附法定代表人、被授权人身份证复印件）及被授权人身份证复印件 （法定代表人直接参加投标，须提供法定代表人身份证明及身份证复印件）；</w:t>
      </w:r>
    </w:p>
    <w:p>
      <w:pPr>
        <w:pStyle w:val="null3"/>
      </w:pPr>
      <w:r>
        <w:rPr>
          <w:rFonts w:ascii="仿宋_GB2312" w:hAnsi="仿宋_GB2312" w:cs="仿宋_GB2312" w:eastAsia="仿宋_GB2312"/>
        </w:rPr>
        <w:t>2、信用证明：供应商未被“信用中国”网站（www.creditchina.gov.cn）列入失信被执行人和重大税收违法失信主体，未被中国政府采购网（www.ccgp.gov.cn）列入政府采购严重违法失信行为记录名单。（响应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p>
      <w:pPr>
        <w:pStyle w:val="null3"/>
      </w:pPr>
      <w:r>
        <w:rPr>
          <w:rFonts w:ascii="仿宋_GB2312" w:hAnsi="仿宋_GB2312" w:cs="仿宋_GB2312" w:eastAsia="仿宋_GB2312"/>
        </w:rPr>
        <w:t>3、不接受联合体投标：本项目不接受联合体投标（提供承诺书）。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西安市鄠邑区庞光街道办事处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西安市鄠邑区庞光街道府前街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西安市鄠邑区庞光镇人民政府经办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029-84987322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中昕国际项目管理有限公司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陕西省西安市未央区西安经济技术开发区凤城十二路首创禧悦里25幢A座16层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王海英，王涛，吴亮亮、答甜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19991969786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丁丽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采购包1：997,500.00元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 [2002]1980号）和国家发展和改革委员会办公厅颁发的《关于招标代理服务收费有关问题的通知》（发改办价格[2003]857号）的有关规定执行。 代理服务费缴纳账户信息： 户名：中昕国际项目管理有限公司 开户行：中国建设银行股份有限公司西安文景路支行 账号：61050178150000000278</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西安市鄠邑区庞光街道办事处</w:t>
      </w:r>
      <w:r>
        <w:rPr>
          <w:rFonts w:ascii="仿宋_GB2312" w:hAnsi="仿宋_GB2312" w:cs="仿宋_GB2312" w:eastAsia="仿宋_GB2312"/>
        </w:rPr>
        <w:t>和</w:t>
      </w:r>
      <w:r>
        <w:rPr>
          <w:rFonts w:ascii="仿宋_GB2312" w:hAnsi="仿宋_GB2312" w:cs="仿宋_GB2312" w:eastAsia="仿宋_GB2312"/>
        </w:rPr>
        <w:t>中昕国际项目管理有限公司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西安市鄠邑区庞光街道办事处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中昕国际项目管理有限公司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西安市鄠邑区庞光街道办事处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中昕国际项目管理有限公司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以磋商文件及合同约定为准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联系人：王海英、答甜</w:t>
      </w:r>
    </w:p>
    <w:p>
      <w:pPr>
        <w:pStyle w:val="null3"/>
      </w:pPr>
      <w:r>
        <w:rPr>
          <w:rFonts w:ascii="仿宋_GB2312" w:hAnsi="仿宋_GB2312" w:cs="仿宋_GB2312" w:eastAsia="仿宋_GB2312"/>
        </w:rPr>
        <w:t>联系电话：029-88211165</w:t>
      </w:r>
    </w:p>
    <w:p>
      <w:pPr>
        <w:pStyle w:val="null3"/>
      </w:pPr>
      <w:r>
        <w:rPr>
          <w:rFonts w:ascii="仿宋_GB2312" w:hAnsi="仿宋_GB2312" w:cs="仿宋_GB2312" w:eastAsia="仿宋_GB2312"/>
        </w:rPr>
        <w:t>地址：西安经济技术开发区凤城十二路首创禧悦里25幢A座16层</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西安高新区庞光街道农村生活污水治理设施运行维护项目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997,500.00</w:t>
      </w:r>
    </w:p>
    <w:p>
      <w:pPr>
        <w:pStyle w:val="null3"/>
      </w:pPr>
      <w:r>
        <w:rPr>
          <w:rFonts w:ascii="仿宋_GB2312" w:hAnsi="仿宋_GB2312" w:cs="仿宋_GB2312" w:eastAsia="仿宋_GB2312"/>
        </w:rPr>
        <w:t>采购包最高限价（元）: 997,500.00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污水处理设施运维</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997,500.00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标的名称：污水处理设施运维</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265"/>
            </w:tblGrid>
            <w:tr>
              <w:tc>
                <w:tcPr>
                  <w:tcW w:type="dxa" w:w="12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b/>
                    </w:rPr>
                    <w:t>一、项目概况</w:t>
                  </w:r>
                </w:p>
                <w:p>
                  <w:pPr>
                    <w:pStyle w:val="null3"/>
                    <w:jc w:val="both"/>
                  </w:pPr>
                  <w:r>
                    <w:rPr>
                      <w:rFonts w:ascii="仿宋_GB2312" w:hAnsi="仿宋_GB2312" w:cs="仿宋_GB2312" w:eastAsia="仿宋_GB2312"/>
                      <w:sz w:val="18"/>
                    </w:rPr>
                    <w:t>运营范围为</w:t>
                  </w:r>
                  <w:r>
                    <w:rPr>
                      <w:rFonts w:ascii="仿宋_GB2312" w:hAnsi="仿宋_GB2312" w:cs="仿宋_GB2312" w:eastAsia="仿宋_GB2312"/>
                      <w:sz w:val="18"/>
                    </w:rPr>
                    <w:t>2座污水处理站、7座提升泵站、83.95公里配套污水收集管网及其他附属设施。为确保高新区农村污水处理设施正常稳定运行，充分发挥设施环境效益和社会效益，需将场站设备、配套管网及其他附属设施委托具有专业技术及运营管理能力的运营商进行运维</w:t>
                  </w:r>
                  <w:r>
                    <w:rPr>
                      <w:rFonts w:ascii="仿宋_GB2312" w:hAnsi="仿宋_GB2312" w:cs="仿宋_GB2312" w:eastAsia="仿宋_GB2312"/>
                      <w:sz w:val="18"/>
                    </w:rPr>
                    <w:t>。</w:t>
                  </w:r>
                </w:p>
                <w:p>
                  <w:pPr>
                    <w:pStyle w:val="null3"/>
                  </w:pPr>
                  <w:r>
                    <w:rPr>
                      <w:rFonts w:ascii="仿宋_GB2312" w:hAnsi="仿宋_GB2312" w:cs="仿宋_GB2312" w:eastAsia="仿宋_GB2312"/>
                      <w:sz w:val="18"/>
                      <w:b/>
                    </w:rPr>
                    <w:t>二、</w:t>
                  </w:r>
                  <w:r>
                    <w:rPr>
                      <w:rFonts w:ascii="仿宋_GB2312" w:hAnsi="仿宋_GB2312" w:cs="仿宋_GB2312" w:eastAsia="仿宋_GB2312"/>
                      <w:sz w:val="18"/>
                      <w:b/>
                    </w:rPr>
                    <w:t>服务内容</w:t>
                  </w:r>
                </w:p>
                <w:p>
                  <w:pPr>
                    <w:pStyle w:val="null3"/>
                    <w:jc w:val="both"/>
                  </w:pPr>
                  <w:r>
                    <w:rPr>
                      <w:rFonts w:ascii="仿宋_GB2312" w:hAnsi="仿宋_GB2312" w:cs="仿宋_GB2312" w:eastAsia="仿宋_GB2312"/>
                      <w:sz w:val="18"/>
                    </w:rPr>
                    <w:t>（一）负责场站预处理系统、生化处理系统、配电系统、深度处理系统以及污泥处理系统的运营管理，并对各场站的安保、站内卫生、绿化养护进行管理；定期检测出水水质，并不断改善各场站的运行效果。</w:t>
                  </w:r>
                </w:p>
                <w:p>
                  <w:pPr>
                    <w:pStyle w:val="null3"/>
                    <w:jc w:val="both"/>
                  </w:pPr>
                  <w:r>
                    <w:rPr>
                      <w:rFonts w:ascii="仿宋_GB2312" w:hAnsi="仿宋_GB2312" w:cs="仿宋_GB2312" w:eastAsia="仿宋_GB2312"/>
                      <w:sz w:val="18"/>
                    </w:rPr>
                    <w:t>（二）负责检查泵站设备的运行情况，定期清洁润滑设备，定期检查电气系统，定期检修泵站设备，定期清理泵体内垃圾，保证设备的正常运行。</w:t>
                  </w:r>
                </w:p>
                <w:p>
                  <w:pPr>
                    <w:pStyle w:val="null3"/>
                    <w:jc w:val="both"/>
                  </w:pPr>
                  <w:r>
                    <w:rPr>
                      <w:rFonts w:ascii="仿宋_GB2312" w:hAnsi="仿宋_GB2312" w:cs="仿宋_GB2312" w:eastAsia="仿宋_GB2312"/>
                      <w:sz w:val="18"/>
                    </w:rPr>
                    <w:t>（三）负责管网收集系统的巡查和一般损坏处置。定期对污水收集管网系统及其相关构筑物进行巡视检查，对管网中出现的一般的漏、坏、堵、溢、露等异常现象，尽快处理和修复；对出现的较严重的影响排水系统正常运行的问题，应及时向所在地街道办事处和主管部门报告，尽快修复设施。</w:t>
                  </w:r>
                </w:p>
                <w:p>
                  <w:pPr>
                    <w:pStyle w:val="null3"/>
                    <w:jc w:val="both"/>
                  </w:pPr>
                  <w:r>
                    <w:rPr>
                      <w:rFonts w:ascii="仿宋_GB2312" w:hAnsi="仿宋_GB2312" w:cs="仿宋_GB2312" w:eastAsia="仿宋_GB2312"/>
                      <w:sz w:val="18"/>
                    </w:rPr>
                    <w:t>（四）负责调蓄池淤泥清理、转运、处置，保证调蓄池具备调蓄能力；</w:t>
                  </w:r>
                </w:p>
                <w:p>
                  <w:pPr>
                    <w:pStyle w:val="null3"/>
                    <w:jc w:val="both"/>
                  </w:pPr>
                  <w:r>
                    <w:rPr>
                      <w:rFonts w:ascii="仿宋_GB2312" w:hAnsi="仿宋_GB2312" w:cs="仿宋_GB2312" w:eastAsia="仿宋_GB2312"/>
                      <w:sz w:val="18"/>
                    </w:rPr>
                    <w:t>（五）负责依据国家和当地政府的相关法规标准的规定，对产生的污泥及其他固体废物、危险废物等废弃物进行规范收集、贮存、转移、处置；</w:t>
                  </w:r>
                </w:p>
                <w:p>
                  <w:pPr>
                    <w:pStyle w:val="null3"/>
                    <w:jc w:val="both"/>
                  </w:pPr>
                  <w:r>
                    <w:rPr>
                      <w:rFonts w:ascii="仿宋_GB2312" w:hAnsi="仿宋_GB2312" w:cs="仿宋_GB2312" w:eastAsia="仿宋_GB2312"/>
                      <w:sz w:val="18"/>
                    </w:rPr>
                    <w:t>（六）负责运行记录、设备检修记录、水质检测记录、废物处置记录等各类资料的填写、收集、归档、保管工作；</w:t>
                  </w:r>
                </w:p>
                <w:p>
                  <w:pPr>
                    <w:pStyle w:val="null3"/>
                    <w:jc w:val="both"/>
                  </w:pPr>
                  <w:r>
                    <w:rPr>
                      <w:rFonts w:ascii="仿宋_GB2312" w:hAnsi="仿宋_GB2312" w:cs="仿宋_GB2312" w:eastAsia="仿宋_GB2312"/>
                      <w:sz w:val="18"/>
                    </w:rPr>
                    <w:t>（七）负责农村生活污水应急处置。</w:t>
                  </w:r>
                </w:p>
                <w:p>
                  <w:pPr>
                    <w:pStyle w:val="null3"/>
                  </w:pPr>
                  <w:r>
                    <w:rPr>
                      <w:rFonts w:ascii="仿宋_GB2312" w:hAnsi="仿宋_GB2312" w:cs="仿宋_GB2312" w:eastAsia="仿宋_GB2312"/>
                      <w:sz w:val="18"/>
                      <w:b/>
                    </w:rPr>
                    <w:t>三、</w:t>
                  </w:r>
                  <w:r>
                    <w:rPr>
                      <w:rFonts w:ascii="仿宋_GB2312" w:hAnsi="仿宋_GB2312" w:cs="仿宋_GB2312" w:eastAsia="仿宋_GB2312"/>
                      <w:sz w:val="18"/>
                      <w:b/>
                    </w:rPr>
                    <w:t>运维要求</w:t>
                  </w:r>
                </w:p>
                <w:p>
                  <w:pPr>
                    <w:pStyle w:val="null3"/>
                    <w:jc w:val="both"/>
                  </w:pPr>
                  <w:r>
                    <w:rPr>
                      <w:rFonts w:ascii="仿宋_GB2312" w:hAnsi="仿宋_GB2312" w:cs="仿宋_GB2312" w:eastAsia="仿宋_GB2312"/>
                      <w:sz w:val="18"/>
                    </w:rPr>
                    <w:t>要求供应商制定并严格执行相关农村生活污水治理设施运行维护规程等技术与管理文件，明确项目组织管理机制、员工培训制度、运行维护管理、档案管理、安全管理、环境管理、运维考核等内容与要求，建立运维台账，确保运维对象的运行稳定、有效，出水水质达标。制定应急预案，不发生安全事故，无环境污染事件。</w:t>
                  </w:r>
                </w:p>
                <w:p>
                  <w:pPr>
                    <w:pStyle w:val="null3"/>
                    <w:jc w:val="both"/>
                  </w:pPr>
                  <w:r>
                    <w:rPr>
                      <w:rFonts w:ascii="仿宋_GB2312" w:hAnsi="仿宋_GB2312" w:cs="仿宋_GB2312" w:eastAsia="仿宋_GB2312"/>
                      <w:sz w:val="18"/>
                    </w:rPr>
                    <w:t>（一）服务要求</w:t>
                  </w:r>
                </w:p>
                <w:p>
                  <w:pPr>
                    <w:pStyle w:val="null3"/>
                    <w:jc w:val="both"/>
                  </w:pPr>
                  <w:r>
                    <w:rPr>
                      <w:rFonts w:ascii="仿宋_GB2312" w:hAnsi="仿宋_GB2312" w:cs="仿宋_GB2312" w:eastAsia="仿宋_GB2312"/>
                      <w:sz w:val="18"/>
                    </w:rPr>
                    <w:t>1.污水处理站运维要求。王寨及化羊污水站，运维期间，实际日处理量满足要求，出水水质达标，污水处理设施处理后出水水质达到陕西省地方标准《农村生活污水处理设施水污染物排放标准》（DB61/1227-2018）</w:t>
                  </w:r>
                </w:p>
                <w:p>
                  <w:pPr>
                    <w:pStyle w:val="null3"/>
                    <w:jc w:val="center"/>
                  </w:pPr>
                  <w:r>
                    <w:rPr>
                      <w:rFonts w:ascii="仿宋_GB2312" w:hAnsi="仿宋_GB2312" w:cs="仿宋_GB2312" w:eastAsia="仿宋_GB2312"/>
                      <w:sz w:val="18"/>
                    </w:rPr>
                    <w:t>污水处理站统计表</w:t>
                  </w:r>
                </w:p>
                <w:tbl>
                  <w:tblPr>
                    <w:tblBorders>
                      <w:top w:val="none" w:color="000000" w:sz="4"/>
                      <w:left w:val="none" w:color="000000" w:sz="4"/>
                      <w:bottom w:val="none" w:color="000000" w:sz="4"/>
                      <w:right w:val="none" w:color="000000" w:sz="4"/>
                      <w:insideH w:val="none"/>
                      <w:insideV w:val="none"/>
                    </w:tblBorders>
                  </w:tblPr>
                  <w:tblGrid>
                    <w:gridCol w:w="70"/>
                    <w:gridCol w:w="220"/>
                    <w:gridCol w:w="230"/>
                    <w:gridCol w:w="104"/>
                  </w:tblGrid>
                  <w:tr>
                    <w:tc>
                      <w:tcPr>
                        <w:tcW w:type="dxa" w:w="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序号</w:t>
                        </w:r>
                      </w:p>
                    </w:tc>
                    <w:tc>
                      <w:tcPr>
                        <w:tcW w:type="dxa" w:w="2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名称</w:t>
                        </w:r>
                      </w:p>
                    </w:tc>
                    <w:tc>
                      <w:tcPr>
                        <w:tcW w:type="dxa" w:w="2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设计规模</w:t>
                        </w:r>
                      </w:p>
                    </w:tc>
                    <w:tc>
                      <w:tcPr>
                        <w:tcW w:type="dxa" w:w="1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排放标准</w:t>
                        </w:r>
                      </w:p>
                    </w:tc>
                  </w:tr>
                  <w:tr>
                    <w:tc>
                      <w:tcPr>
                        <w:tcW w:type="dxa" w:w="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王寨村污水处理站</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200</w:t>
                        </w:r>
                        <w:r>
                          <w:rPr>
                            <w:rFonts w:ascii="仿宋_GB2312" w:hAnsi="仿宋_GB2312" w:cs="仿宋_GB2312" w:eastAsia="仿宋_GB2312"/>
                            <w:sz w:val="18"/>
                          </w:rPr>
                          <w:t>立方米</w:t>
                        </w:r>
                        <w:r>
                          <w:rPr>
                            <w:rFonts w:ascii="仿宋_GB2312" w:hAnsi="仿宋_GB2312" w:cs="仿宋_GB2312" w:eastAsia="仿宋_GB2312"/>
                            <w:sz w:val="18"/>
                          </w:rPr>
                          <w:t>/日</w:t>
                        </w:r>
                      </w:p>
                    </w:tc>
                    <w:tc>
                      <w:tcPr>
                        <w:tcW w:type="dxa" w:w="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二级标准</w:t>
                        </w:r>
                      </w:p>
                    </w:tc>
                  </w:tr>
                  <w:tr>
                    <w:tc>
                      <w:tcPr>
                        <w:tcW w:type="dxa" w:w="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化羊村污水处理站</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300</w:t>
                        </w:r>
                        <w:r>
                          <w:rPr>
                            <w:rFonts w:ascii="仿宋_GB2312" w:hAnsi="仿宋_GB2312" w:cs="仿宋_GB2312" w:eastAsia="仿宋_GB2312"/>
                            <w:sz w:val="18"/>
                          </w:rPr>
                          <w:t>立方米</w:t>
                        </w:r>
                        <w:r>
                          <w:rPr>
                            <w:rFonts w:ascii="仿宋_GB2312" w:hAnsi="仿宋_GB2312" w:cs="仿宋_GB2312" w:eastAsia="仿宋_GB2312"/>
                            <w:sz w:val="18"/>
                          </w:rPr>
                          <w:t>/日</w:t>
                        </w:r>
                      </w:p>
                    </w:tc>
                    <w:tc>
                      <w:tcPr>
                        <w:tcW w:type="dxa" w:w="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二级标准</w:t>
                        </w:r>
                      </w:p>
                    </w:tc>
                  </w:tr>
                  <w:tr>
                    <w:tc>
                      <w:tcPr>
                        <w:tcW w:type="dxa" w:w="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55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2座污水处理站，设计处理能力500立方米/日</w:t>
                        </w:r>
                      </w:p>
                    </w:tc>
                  </w:tr>
                </w:tbl>
                <w:p>
                  <w:pPr>
                    <w:pStyle w:val="null3"/>
                    <w:jc w:val="both"/>
                  </w:pPr>
                  <w:r>
                    <w:rPr>
                      <w:rFonts w:ascii="仿宋_GB2312" w:hAnsi="仿宋_GB2312" w:cs="仿宋_GB2312" w:eastAsia="仿宋_GB2312"/>
                      <w:sz w:val="18"/>
                    </w:rPr>
                    <w:t>2.污水收集系统和其他附属设施运维要求。</w:t>
                  </w:r>
                </w:p>
                <w:p>
                  <w:pPr>
                    <w:pStyle w:val="null3"/>
                    <w:jc w:val="both"/>
                  </w:pPr>
                  <w:r>
                    <w:rPr>
                      <w:rFonts w:ascii="仿宋_GB2312" w:hAnsi="仿宋_GB2312" w:cs="仿宋_GB2312" w:eastAsia="仿宋_GB2312"/>
                      <w:sz w:val="18"/>
                    </w:rPr>
                    <w:t>2.1提升泵站运维要求。负责7座污水提升泵站日常巡查和维护维修，主要包括格栅池残渣清除，泵体、水泵和其他配件维护保养、通风换气、电气系统检查、设备维修、垃圾等废弃物转运和处置、压力管线维修疏通、填写巡检和维修记录等，保证各泵站设备稳定运行。</w:t>
                  </w:r>
                </w:p>
                <w:p>
                  <w:pPr>
                    <w:pStyle w:val="null3"/>
                    <w:jc w:val="center"/>
                  </w:pPr>
                  <w:r>
                    <w:rPr>
                      <w:rFonts w:ascii="仿宋_GB2312" w:hAnsi="仿宋_GB2312" w:cs="仿宋_GB2312" w:eastAsia="仿宋_GB2312"/>
                      <w:sz w:val="18"/>
                    </w:rPr>
                    <w:t>表</w:t>
                  </w:r>
                  <w:r>
                    <w:rPr>
                      <w:rFonts w:ascii="仿宋_GB2312" w:hAnsi="仿宋_GB2312" w:cs="仿宋_GB2312" w:eastAsia="仿宋_GB2312"/>
                      <w:sz w:val="18"/>
                    </w:rPr>
                    <w:t>2.1污水提升泵站统计表</w:t>
                  </w:r>
                </w:p>
                <w:tbl>
                  <w:tblPr>
                    <w:tblBorders>
                      <w:top w:val="none" w:color="000000" w:sz="4"/>
                      <w:left w:val="none" w:color="000000" w:sz="4"/>
                      <w:bottom w:val="none" w:color="000000" w:sz="4"/>
                      <w:right w:val="none" w:color="000000" w:sz="4"/>
                      <w:insideH w:val="none"/>
                      <w:insideV w:val="none"/>
                    </w:tblBorders>
                  </w:tblPr>
                  <w:tblGrid>
                    <w:gridCol w:w="92"/>
                    <w:gridCol w:w="412"/>
                    <w:gridCol w:w="360"/>
                    <w:gridCol w:w="180"/>
                  </w:tblGrid>
                  <w:tr>
                    <w:tc>
                      <w:tcPr>
                        <w:tcW w:type="dxa" w:w="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序号</w:t>
                        </w:r>
                      </w:p>
                    </w:tc>
                    <w:tc>
                      <w:tcPr>
                        <w:tcW w:type="dxa" w:w="4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名称</w:t>
                        </w:r>
                      </w:p>
                    </w:tc>
                    <w:tc>
                      <w:tcPr>
                        <w:tcW w:type="dxa" w:w="3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设计规模</w:t>
                        </w:r>
                      </w:p>
                    </w:tc>
                    <w:tc>
                      <w:tcPr>
                        <w:tcW w:type="dxa" w:w="1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数量</w:t>
                        </w:r>
                      </w:p>
                    </w:tc>
                  </w:tr>
                  <w:tr>
                    <w:tc>
                      <w:tcPr>
                        <w:tcW w:type="dxa" w:w="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一体化提升泵站</w:t>
                        </w:r>
                      </w:p>
                    </w:tc>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总规模</w:t>
                        </w:r>
                        <w:r>
                          <w:rPr>
                            <w:rFonts w:ascii="仿宋_GB2312" w:hAnsi="仿宋_GB2312" w:cs="仿宋_GB2312" w:eastAsia="仿宋_GB2312"/>
                            <w:sz w:val="18"/>
                          </w:rPr>
                          <w:t>196</w:t>
                        </w:r>
                        <w:r>
                          <w:rPr>
                            <w:rFonts w:ascii="仿宋_GB2312" w:hAnsi="仿宋_GB2312" w:cs="仿宋_GB2312" w:eastAsia="仿宋_GB2312"/>
                            <w:sz w:val="18"/>
                          </w:rPr>
                          <w:t>m³/h。</w:t>
                        </w:r>
                      </w:p>
                    </w:tc>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w:t>
                        </w:r>
                        <w:r>
                          <w:rPr>
                            <w:rFonts w:ascii="仿宋_GB2312" w:hAnsi="仿宋_GB2312" w:cs="仿宋_GB2312" w:eastAsia="仿宋_GB2312"/>
                            <w:sz w:val="18"/>
                          </w:rPr>
                          <w:t>座</w:t>
                        </w:r>
                      </w:p>
                    </w:tc>
                  </w:tr>
                </w:tbl>
                <w:p>
                  <w:pPr>
                    <w:pStyle w:val="null3"/>
                    <w:jc w:val="both"/>
                  </w:pPr>
                  <w:r>
                    <w:rPr>
                      <w:rFonts w:ascii="仿宋_GB2312" w:hAnsi="仿宋_GB2312" w:cs="仿宋_GB2312" w:eastAsia="仿宋_GB2312"/>
                      <w:sz w:val="18"/>
                    </w:rPr>
                    <w:t>2.2污水收集管网运维要求。负责重力流污水收水管网日常巡查和维护维修，主要包括污水收集管网日常巡检、疏通、管道破损维修、其他安全设施检查等，保证污水收集管网畅通，无堵塞、漏水现象。</w:t>
                  </w:r>
                </w:p>
                <w:p>
                  <w:pPr>
                    <w:pStyle w:val="null3"/>
                    <w:jc w:val="both"/>
                  </w:pPr>
                  <w:r>
                    <w:rPr>
                      <w:rFonts w:ascii="仿宋_GB2312" w:hAnsi="仿宋_GB2312" w:cs="仿宋_GB2312" w:eastAsia="仿宋_GB2312"/>
                      <w:sz w:val="18"/>
                    </w:rPr>
                    <w:t>2.3其他附属配套设施运维要求。负责检查井井盖、隔油井井盖、防坠网等易损件维修更换，因管道问题造成的管道附近路面塌陷维修及其他其他附属配套设施维护维修，保证井盖及管道附近路面平整、稳固、其他附属设施正常运行；定期清理调蓄池内淤泥，保证调蓄池通畅蓄水，具备调蓄能力。</w:t>
                  </w:r>
                </w:p>
                <w:p>
                  <w:pPr>
                    <w:pStyle w:val="null3"/>
                    <w:jc w:val="center"/>
                  </w:pPr>
                  <w:r>
                    <w:rPr>
                      <w:rFonts w:ascii="仿宋_GB2312" w:hAnsi="仿宋_GB2312" w:cs="仿宋_GB2312" w:eastAsia="仿宋_GB2312"/>
                      <w:sz w:val="18"/>
                    </w:rPr>
                    <w:t>表</w:t>
                  </w:r>
                  <w:r>
                    <w:rPr>
                      <w:rFonts w:ascii="仿宋_GB2312" w:hAnsi="仿宋_GB2312" w:cs="仿宋_GB2312" w:eastAsia="仿宋_GB2312"/>
                      <w:sz w:val="18"/>
                    </w:rPr>
                    <w:t>2.2 收水管网统及其他附属设施统计表</w:t>
                  </w:r>
                </w:p>
                <w:tbl>
                  <w:tblPr>
                    <w:tblBorders>
                      <w:top w:val="none" w:color="000000" w:sz="4"/>
                      <w:left w:val="none" w:color="000000" w:sz="4"/>
                      <w:bottom w:val="none" w:color="000000" w:sz="4"/>
                      <w:right w:val="none" w:color="000000" w:sz="4"/>
                      <w:insideH w:val="none"/>
                      <w:insideV w:val="none"/>
                    </w:tblBorders>
                  </w:tblPr>
                  <w:tblGrid>
                    <w:gridCol w:w="100"/>
                    <w:gridCol w:w="216"/>
                    <w:gridCol w:w="400"/>
                    <w:gridCol w:w="328"/>
                  </w:tblGrid>
                  <w:tr>
                    <w:tc>
                      <w:tcPr>
                        <w:tcW w:type="dxa" w:w="1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序号</w:t>
                        </w:r>
                      </w:p>
                    </w:tc>
                    <w:tc>
                      <w:tcPr>
                        <w:tcW w:type="dxa" w:w="2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名称</w:t>
                        </w:r>
                      </w:p>
                    </w:tc>
                    <w:tc>
                      <w:tcPr>
                        <w:tcW w:type="dxa" w:w="4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设计规模</w:t>
                        </w:r>
                      </w:p>
                    </w:tc>
                    <w:tc>
                      <w:tcPr>
                        <w:tcW w:type="dxa" w:w="3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数量</w:t>
                        </w:r>
                      </w:p>
                    </w:tc>
                  </w:tr>
                  <w:tr>
                    <w:tc>
                      <w:tcPr>
                        <w:tcW w:type="dxa" w:w="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收水管网</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管径</w:t>
                        </w:r>
                        <w:r>
                          <w:rPr>
                            <w:rFonts w:ascii="仿宋_GB2312" w:hAnsi="仿宋_GB2312" w:cs="仿宋_GB2312" w:eastAsia="仿宋_GB2312"/>
                            <w:sz w:val="18"/>
                          </w:rPr>
                          <w:t>DN1000、DN500、DN300、DN200</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83.95</w:t>
                        </w:r>
                        <w:r>
                          <w:rPr>
                            <w:rFonts w:ascii="仿宋_GB2312" w:hAnsi="仿宋_GB2312" w:cs="仿宋_GB2312" w:eastAsia="仿宋_GB2312"/>
                            <w:sz w:val="18"/>
                          </w:rPr>
                          <w:t>公里</w:t>
                        </w:r>
                      </w:p>
                    </w:tc>
                  </w:tr>
                  <w:tr>
                    <w:tc>
                      <w:tcPr>
                        <w:tcW w:type="dxa" w:w="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其他附属设施</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检查井、隔油井等</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4197个</w:t>
                        </w:r>
                      </w:p>
                    </w:tc>
                  </w:tr>
                </w:tbl>
                <w:p>
                  <w:pPr>
                    <w:pStyle w:val="null3"/>
                    <w:jc w:val="both"/>
                  </w:pPr>
                  <w:r>
                    <w:rPr>
                      <w:rFonts w:ascii="仿宋_GB2312" w:hAnsi="仿宋_GB2312" w:cs="仿宋_GB2312" w:eastAsia="仿宋_GB2312"/>
                      <w:sz w:val="18"/>
                    </w:rPr>
                    <w:t>（二）管理要求</w:t>
                  </w:r>
                </w:p>
                <w:p>
                  <w:pPr>
                    <w:pStyle w:val="null3"/>
                    <w:jc w:val="both"/>
                  </w:pPr>
                  <w:r>
                    <w:rPr>
                      <w:rFonts w:ascii="仿宋_GB2312" w:hAnsi="仿宋_GB2312" w:cs="仿宋_GB2312" w:eastAsia="仿宋_GB2312"/>
                      <w:sz w:val="18"/>
                    </w:rPr>
                    <w:t>1.人员配置</w:t>
                  </w:r>
                </w:p>
                <w:p>
                  <w:pPr>
                    <w:pStyle w:val="null3"/>
                    <w:jc w:val="both"/>
                  </w:pPr>
                  <w:r>
                    <w:rPr>
                      <w:rFonts w:ascii="仿宋_GB2312" w:hAnsi="仿宋_GB2312" w:cs="仿宋_GB2312" w:eastAsia="仿宋_GB2312"/>
                      <w:sz w:val="18"/>
                    </w:rPr>
                    <w:t>至少配备</w:t>
                  </w:r>
                  <w:r>
                    <w:rPr>
                      <w:rFonts w:ascii="仿宋_GB2312" w:hAnsi="仿宋_GB2312" w:cs="仿宋_GB2312" w:eastAsia="仿宋_GB2312"/>
                      <w:sz w:val="18"/>
                    </w:rPr>
                    <w:t>12名专职运维人员。提供年度培训计划，包括安全操作、应急处理等内容。</w:t>
                  </w:r>
                </w:p>
                <w:p>
                  <w:pPr>
                    <w:pStyle w:val="null3"/>
                    <w:jc w:val="both"/>
                  </w:pPr>
                  <w:r>
                    <w:rPr>
                      <w:rFonts w:ascii="仿宋_GB2312" w:hAnsi="仿宋_GB2312" w:cs="仿宋_GB2312" w:eastAsia="仿宋_GB2312"/>
                      <w:sz w:val="18"/>
                    </w:rPr>
                    <w:t>2.安全管理</w:t>
                  </w:r>
                </w:p>
                <w:p>
                  <w:pPr>
                    <w:pStyle w:val="null3"/>
                    <w:jc w:val="both"/>
                  </w:pPr>
                  <w:r>
                    <w:rPr>
                      <w:rFonts w:ascii="仿宋_GB2312" w:hAnsi="仿宋_GB2312" w:cs="仿宋_GB2312" w:eastAsia="仿宋_GB2312"/>
                      <w:sz w:val="18"/>
                    </w:rPr>
                    <w:t>制定有限空间作业、防硫化氢中毒、防爆等安全规程。配备安全防护装备（气体检测仪、正压式呼吸器等）。</w:t>
                  </w:r>
                </w:p>
                <w:p>
                  <w:pPr>
                    <w:pStyle w:val="null3"/>
                    <w:jc w:val="both"/>
                  </w:pPr>
                  <w:r>
                    <w:rPr>
                      <w:rFonts w:ascii="仿宋_GB2312" w:hAnsi="仿宋_GB2312" w:cs="仿宋_GB2312" w:eastAsia="仿宋_GB2312"/>
                      <w:sz w:val="18"/>
                    </w:rPr>
                    <w:t>3.档案管理</w:t>
                  </w:r>
                </w:p>
                <w:p>
                  <w:pPr>
                    <w:pStyle w:val="null3"/>
                    <w:jc w:val="both"/>
                  </w:pPr>
                  <w:r>
                    <w:rPr>
                      <w:rFonts w:ascii="仿宋_GB2312" w:hAnsi="仿宋_GB2312" w:cs="仿宋_GB2312" w:eastAsia="仿宋_GB2312"/>
                      <w:sz w:val="18"/>
                    </w:rPr>
                    <w:t>建立电子化运维台账，包括巡检记录、维修记录、水质报告等，保存期不少于</w:t>
                  </w:r>
                  <w:r>
                    <w:rPr>
                      <w:rFonts w:ascii="仿宋_GB2312" w:hAnsi="仿宋_GB2312" w:cs="仿宋_GB2312" w:eastAsia="仿宋_GB2312"/>
                      <w:sz w:val="18"/>
                    </w:rPr>
                    <w:t>3年。</w:t>
                  </w:r>
                </w:p>
                <w:p>
                  <w:pPr>
                    <w:pStyle w:val="null3"/>
                    <w:jc w:val="both"/>
                  </w:pPr>
                  <w:r>
                    <w:rPr>
                      <w:rFonts w:ascii="仿宋_GB2312" w:hAnsi="仿宋_GB2312" w:cs="仿宋_GB2312" w:eastAsia="仿宋_GB2312"/>
                      <w:sz w:val="18"/>
                    </w:rPr>
                    <w:t>4.应急管理</w:t>
                  </w:r>
                </w:p>
                <w:p>
                  <w:pPr>
                    <w:pStyle w:val="null3"/>
                    <w:jc w:val="both"/>
                  </w:pPr>
                  <w:r>
                    <w:rPr>
                      <w:rFonts w:ascii="仿宋_GB2312" w:hAnsi="仿宋_GB2312" w:cs="仿宋_GB2312" w:eastAsia="仿宋_GB2312"/>
                      <w:sz w:val="18"/>
                    </w:rPr>
                    <w:t>编制防汛、停电、设备故障等应急预案，每年至少组织</w:t>
                  </w:r>
                  <w:r>
                    <w:rPr>
                      <w:rFonts w:ascii="仿宋_GB2312" w:hAnsi="仿宋_GB2312" w:cs="仿宋_GB2312" w:eastAsia="仿宋_GB2312"/>
                      <w:sz w:val="18"/>
                    </w:rPr>
                    <w:t>1次演练。</w:t>
                  </w:r>
                </w:p>
                <w:p>
                  <w:pPr>
                    <w:pStyle w:val="null3"/>
                  </w:pPr>
                  <w:r>
                    <w:rPr>
                      <w:rFonts w:ascii="仿宋_GB2312" w:hAnsi="仿宋_GB2312" w:cs="仿宋_GB2312" w:eastAsia="仿宋_GB2312"/>
                      <w:sz w:val="18"/>
                      <w:b/>
                    </w:rPr>
                    <w:t>四</w:t>
                  </w:r>
                  <w:r>
                    <w:rPr>
                      <w:rFonts w:ascii="仿宋_GB2312" w:hAnsi="仿宋_GB2312" w:cs="仿宋_GB2312" w:eastAsia="仿宋_GB2312"/>
                      <w:sz w:val="18"/>
                      <w:b/>
                    </w:rPr>
                    <w:t>、</w:t>
                  </w:r>
                  <w:r>
                    <w:rPr>
                      <w:rFonts w:ascii="仿宋_GB2312" w:hAnsi="仿宋_GB2312" w:cs="仿宋_GB2312" w:eastAsia="仿宋_GB2312"/>
                      <w:sz w:val="18"/>
                      <w:b/>
                    </w:rPr>
                    <w:t>服务期限</w:t>
                  </w:r>
                </w:p>
                <w:p>
                  <w:pPr>
                    <w:pStyle w:val="null3"/>
                  </w:pPr>
                  <w:r>
                    <w:rPr>
                      <w:rFonts w:ascii="仿宋_GB2312" w:hAnsi="仿宋_GB2312" w:cs="仿宋_GB2312" w:eastAsia="仿宋_GB2312"/>
                      <w:sz w:val="18"/>
                    </w:rPr>
                    <w:t>一年</w:t>
                  </w:r>
                </w:p>
                <w:p>
                  <w:pPr>
                    <w:pStyle w:val="null3"/>
                  </w:pPr>
                  <w:r>
                    <w:rPr>
                      <w:rFonts w:ascii="仿宋_GB2312" w:hAnsi="仿宋_GB2312" w:cs="仿宋_GB2312" w:eastAsia="仿宋_GB2312"/>
                      <w:sz w:val="18"/>
                      <w:b/>
                    </w:rPr>
                    <w:t>五</w:t>
                  </w:r>
                  <w:r>
                    <w:rPr>
                      <w:rFonts w:ascii="仿宋_GB2312" w:hAnsi="仿宋_GB2312" w:cs="仿宋_GB2312" w:eastAsia="仿宋_GB2312"/>
                      <w:sz w:val="18"/>
                      <w:b/>
                    </w:rPr>
                    <w:t>、</w:t>
                  </w:r>
                  <w:r>
                    <w:rPr>
                      <w:rFonts w:ascii="仿宋_GB2312" w:hAnsi="仿宋_GB2312" w:cs="仿宋_GB2312" w:eastAsia="仿宋_GB2312"/>
                      <w:sz w:val="18"/>
                      <w:b/>
                    </w:rPr>
                    <w:t>工程量清单</w:t>
                  </w:r>
                </w:p>
                <w:tbl>
                  <w:tblPr>
                    <w:tblBorders>
                      <w:top w:val="none" w:color="000000" w:sz="4"/>
                      <w:left w:val="none" w:color="000000" w:sz="4"/>
                      <w:bottom w:val="none" w:color="000000" w:sz="4"/>
                      <w:right w:val="none" w:color="000000" w:sz="4"/>
                      <w:insideH w:val="none"/>
                      <w:insideV w:val="none"/>
                    </w:tblBorders>
                  </w:tblPr>
                  <w:tblGrid>
                    <w:gridCol w:w="74"/>
                    <w:gridCol w:w="229"/>
                    <w:gridCol w:w="109"/>
                    <w:gridCol w:w="217"/>
                    <w:gridCol w:w="221"/>
                    <w:gridCol w:w="198"/>
                  </w:tblGrid>
                  <w:tr>
                    <w:tc>
                      <w:tcPr>
                        <w:tcW w:type="dxa" w:w="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序号</w:t>
                        </w:r>
                      </w:p>
                    </w:tc>
                    <w:tc>
                      <w:tcPr>
                        <w:tcW w:type="dxa" w:w="2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项目</w:t>
                        </w:r>
                      </w:p>
                    </w:tc>
                    <w:tc>
                      <w:tcPr>
                        <w:tcW w:type="dxa" w:w="1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单位</w:t>
                        </w:r>
                      </w:p>
                    </w:tc>
                    <w:tc>
                      <w:tcPr>
                        <w:tcW w:type="dxa" w:w="2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数量</w:t>
                        </w:r>
                      </w:p>
                    </w:tc>
                    <w:tc>
                      <w:tcPr>
                        <w:tcW w:type="dxa" w:w="2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单价</w:t>
                        </w:r>
                        <w:r>
                          <w:rPr>
                            <w:rFonts w:ascii="仿宋_GB2312" w:hAnsi="仿宋_GB2312" w:cs="仿宋_GB2312" w:eastAsia="仿宋_GB2312"/>
                            <w:sz w:val="18"/>
                          </w:rPr>
                          <w:t>(元）</w:t>
                        </w:r>
                      </w:p>
                    </w:tc>
                    <w:tc>
                      <w:tcPr>
                        <w:tcW w:type="dxa" w:w="1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合价（元））</w:t>
                        </w:r>
                      </w:p>
                    </w:tc>
                  </w:tr>
                  <w:tr>
                    <w:tc>
                      <w:tcPr>
                        <w:tcW w:type="dxa" w:w="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污水处理站运维</w:t>
                        </w:r>
                      </w:p>
                    </w:tc>
                    <w:tc>
                      <w:tcPr>
                        <w:tcW w:type="dxa" w:w="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吨</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182500</w:t>
                        </w:r>
                      </w:p>
                    </w:tc>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提升泵站运维</w:t>
                        </w:r>
                      </w:p>
                    </w:tc>
                    <w:tc>
                      <w:tcPr>
                        <w:tcW w:type="dxa" w:w="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座</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w:t>
                        </w:r>
                      </w:p>
                    </w:tc>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污水设施清淤费</w:t>
                        </w:r>
                      </w:p>
                    </w:tc>
                    <w:tc>
                      <w:tcPr>
                        <w:tcW w:type="dxa" w:w="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吨</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229.55</w:t>
                        </w:r>
                      </w:p>
                    </w:tc>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收水管网和其他附属设施运维</w:t>
                        </w:r>
                      </w:p>
                    </w:tc>
                    <w:tc>
                      <w:tcPr>
                        <w:tcW w:type="dxa" w:w="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公里</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83.95</w:t>
                        </w:r>
                      </w:p>
                    </w:tc>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合计</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人员配备合理满足本项目各项需求，职责分工明确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依据国家相关标准、规范及有关技术文件进行质量验收及考核；如国家或行业标准发生变化，运维单位根据法律的规定必须执行。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合同签订后，服务费按半年期分期支付。每半年度服务期满，经甲方验收合格，且乙方提供等额合规的增值税发票后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服务期满一年，经甲方终验合格，且乙方提供剩余等额发票后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1、乙方未按约定提供足额、合规发票的，甲方有权顺延付款期限，且不承担逾期付款违约责任；由此造成的付款延迟及损失，由乙方自行承担。 2、项目执行过程中如遇运维模式政策性调整或其他不可抗力因素影响，导致运维服务不能正常进行的，甲方将按实际运维的时间向乙方支付运维费用；如乙方在项目运维过程中提供的服务不能满足采购要求的，甲方可单方面终止合同，并要求乙方对造成的损失进行赔偿。 3、甲乙双方因履行本协议发生争议、可友好协商。双方不愿协商或者协议未果的，也可选择向甲方住所地有管辖权的人民法院提起起诉。 4、本协议如与国家法律法规和章程及地方有关规定不一致的，从其规定。其他未尽事宜，凡国家法律法规和规章以及地方有规定的，遵照其规定执行。未有规定的，甲乙双方可协商具体解决方案。</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成交供应商在领取成交通知书前，须向采购代理机构提供纸质版响应文件3套，且提供的响应文件必须与在陕西省政府采购综合管理平台的项目电子化交易系统中递交的电子响应文件内容一致，纸质版响应文件必须装订成册签字盖章。 2、关于弃标的说明：按照《西安市财政局关于促进政府采购公平竞争优化营商环境的通知》（市财函〔2021〕431号）规定：供应商登记免费领取招标文件的，如不参与项目投标，应在提交投标文件截止时间前一日以书面形式告知采购代理机构（出具弃标函发送至代理机构邮箱：zhongxinguoji001@163.com）。否则，采购代理机构可以向财政部门反映情况并提供相应的佐证。供应商一年内累计出现三次该情形，将被监管部门记录为失信行为。</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并提供以下证明材料：1、提供合格有效的法人或者其他组织的营业执照等证明文件，自然人的身份证明；2、税收证明：提供磋商截止日前近一年内至少一个月的纳税证明或完税证明，依法免税的单位应提供相关证明材料；3、社会保障：提供磋商截止日前近一年内至少一个月的社会保障资金缴存单据或社保机构开具的社会保险参保缴费情况证明，依法不需要缴纳社会保障资金的单位应提供相关证明材料；4、说明及承诺书：提供具有履行本合同所必需的设备和专业技术能力的说明及承诺书；5、书面声明：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递交磋商文件截止之日2024年度或2025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提供法定代表人授权书（附法定代表人、被授权人身份证复印件）及被授权人身份证复印件 （法定代表人直接参加投标，须提供法定代表人身份证明及身份证复印件）；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信用证明</w:t>
            </w:r>
          </w:p>
        </w:tc>
        <w:tc>
          <w:tcPr>
            <w:tcW w:type="dxa" w:w="3322"/>
          </w:tcPr>
          <w:p>
            <w:pPr>
              <w:pStyle w:val="null3"/>
            </w:pPr>
            <w:r>
              <w:rPr>
                <w:rFonts w:ascii="仿宋_GB2312" w:hAnsi="仿宋_GB2312" w:cs="仿宋_GB2312" w:eastAsia="仿宋_GB2312"/>
              </w:rPr>
              <w:t>供应商未被“信用中国”网站（www.creditchina.gov.cn）列入失信被执行人和重大税收违法失信主体，未被中国政府采购网（www.ccgp.gov.cn）列入政府采购严重违法失信行为记录名单。（响应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不接受联合体投标</w:t>
            </w:r>
          </w:p>
        </w:tc>
        <w:tc>
          <w:tcPr>
            <w:tcW w:type="dxa" w:w="3322"/>
          </w:tcPr>
          <w:p>
            <w:pPr>
              <w:pStyle w:val="null3"/>
            </w:pPr>
            <w:r>
              <w:rPr>
                <w:rFonts w:ascii="仿宋_GB2312" w:hAnsi="仿宋_GB2312" w:cs="仿宋_GB2312" w:eastAsia="仿宋_GB2312"/>
              </w:rPr>
              <w:t>本项目不接受联合体投标（提供承诺书）。</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 2.根据财政部《关于推动解决政府采购异常低价问题的通知》（财库〔2026〕2号）“政府采购评审中出现下列情形之一的，评审委员会应当启动异常低价投标（响应）审查程序”： ①投标（响应）报价低于全部通过符合性审查供应商投标（响应）报价平均值65%的，即投标（响应）报价&lt;全部通过符合性审查供应商投标（响应）报价平均值×65%； ②投标（响应）报价低于通过符合性审查的次低报价供应商投标（响应）报价65%的，即投标（响应）报价&lt;通过符合性审查的次低报价供应商投标（响应）报价×65%； ③投标（响应）报价低于采购项目最高限价65%的，即投标（响应）报价&lt;采购项目最高限价×65%； ④评审委员会基于专业判断，认为供应商报价过低，有可能影响产品质量或者不能诚信履约的其他情形。 ⑤供应商提交的相关说明和证明材料，应当加盖供应商（法定名称）电子印章，相关供应商应于30分钟内（含30分钟）按评标委员会要求提供相应证明材料，通过项目电子化交易系统进行提交，否则提交的相关证明材料无效。供应商不能证明其投标报价合理性的，评标委员会应当将其谈判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按照磋商文件格式要求进行签署盖章；</w:t>
            </w:r>
          </w:p>
        </w:tc>
        <w:tc>
          <w:tcPr>
            <w:tcW w:type="dxa" w:w="1661"/>
          </w:tcPr>
          <w:p>
            <w:pPr>
              <w:pStyle w:val="null3"/>
            </w:pPr>
            <w:r>
              <w:rPr>
                <w:rFonts w:ascii="仿宋_GB2312" w:hAnsi="仿宋_GB2312" w:cs="仿宋_GB2312" w:eastAsia="仿宋_GB2312"/>
              </w:rPr>
              <w:t>服务内容及服务邀请应答表 中小企业声明函 商务应答表 报价表 响应文件封面 分项报价表.docx 供应商应提交的相关资格证明材料.docx 残疾人福利性单位声明函 服务方案 标的清单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是否磋商响应文件要求；</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标的清单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据本项目实际编制实施方案，1、评审内容包含：①工艺管理控制 ②设备操作维护保养与检修 ③污泥处置设施管理 ④日常水质监测 ⑤异常问题的分析除等。 方案内容完善，合理性、可行性强，能够有效保证项目的顺利进行和完成得10分；每有一个缺项扣2分，每有一处内容存在缺陷，扣0.5分，扣完为止。未提供不得分。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日常运维方案</w:t>
            </w:r>
          </w:p>
        </w:tc>
        <w:tc>
          <w:tcPr>
            <w:tcW w:type="dxa" w:w="2492"/>
          </w:tcPr>
          <w:p>
            <w:pPr>
              <w:pStyle w:val="null3"/>
            </w:pPr>
            <w:r>
              <w:rPr>
                <w:rFonts w:ascii="仿宋_GB2312" w:hAnsi="仿宋_GB2312" w:cs="仿宋_GB2312" w:eastAsia="仿宋_GB2312"/>
              </w:rPr>
              <w:t>日常运维方案包含①服务内容；②日常维护工作；③故障排除；④例行巡检；⑤定期检修维护；合理可行，能满足日常工作的要求，运维方案内容准确、全面，思路清晰，逻辑严密，符合本项目实际情况及国家、地方相关规范法规要求且具有很强的实施性得10分；每有一个缺项扣2分，每有一处内容存在缺陷，扣0.5分，扣完为止。未提供不得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提供针对本项目的质量控制体系和维护手册，①日常设施巡查质量保障措施②设备维护质量保障措施③污泥清运质量保障措施④水质检测质量保障措施。内容详细全面，科学合理，可操作性强，针对性强得得8分；每有一个缺项扣2分，每有一处内容存在缺陷，扣0.5分，扣完为止。未提供不得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安全管理</w:t>
            </w:r>
          </w:p>
        </w:tc>
        <w:tc>
          <w:tcPr>
            <w:tcW w:type="dxa" w:w="2492"/>
          </w:tcPr>
          <w:p>
            <w:pPr>
              <w:pStyle w:val="null3"/>
            </w:pPr>
            <w:r>
              <w:rPr>
                <w:rFonts w:ascii="仿宋_GB2312" w:hAnsi="仿宋_GB2312" w:cs="仿宋_GB2312" w:eastAsia="仿宋_GB2312"/>
              </w:rPr>
              <w:t>提供针对本项目①安全生产管理制度②安全防范措施等，要求能保障运维服务的稳定和安全，避免环境污染。制度及措施科学合理，符合实际情况的得6分；每有一个缺项扣3分，每有一处内容存在缺陷，扣0.5分，扣完为止。 未提供不得分。备注：缺陷是指内容不合理、虽有内容但不完善、内容表述前后不一致、套用其他项目方案或与项目需求不匹配及其他不利于项目实施的等任意一种情形。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档案管理</w:t>
            </w:r>
          </w:p>
        </w:tc>
        <w:tc>
          <w:tcPr>
            <w:tcW w:type="dxa" w:w="2492"/>
          </w:tcPr>
          <w:p>
            <w:pPr>
              <w:pStyle w:val="null3"/>
            </w:pPr>
            <w:r>
              <w:rPr>
                <w:rFonts w:ascii="仿宋_GB2312" w:hAnsi="仿宋_GB2312" w:cs="仿宋_GB2312" w:eastAsia="仿宋_GB2312"/>
              </w:rPr>
              <w:t>提供针对本项目：①档案管理方案②运行台账③巡查及故障处理；内容详细全面，可操作性强，针对性强得6分；每有一个缺项扣2分，每有一处内容存在缺陷，扣0.5分，扣完为止。 未提供不得分。备注：缺陷是指内容不合理、虽有内容但不完善、内容表述前后不一致、套用其他项目方案或与项目需求不匹配及其他不利于项目实施的等任意一种情形。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团队人员配置</w:t>
            </w:r>
          </w:p>
        </w:tc>
        <w:tc>
          <w:tcPr>
            <w:tcW w:type="dxa" w:w="2492"/>
          </w:tcPr>
          <w:p>
            <w:pPr>
              <w:pStyle w:val="null3"/>
            </w:pPr>
            <w:r>
              <w:rPr>
                <w:rFonts w:ascii="仿宋_GB2312" w:hAnsi="仿宋_GB2312" w:cs="仿宋_GB2312" w:eastAsia="仿宋_GB2312"/>
              </w:rPr>
              <w:t>人员配备方案（拟投入本项目人员符合采购需求要求，分工合理，有明确的岗位职责。）包括①组织管理机构人员名单及人员分工安排、职责划分； ②人员协调方案； ③人员培训方案。方案全面，对评审内容中的各项要求有详细阐述得6分；每有一个缺项扣2分，每有一处内容存在缺陷，扣0.5分，扣完为止。未提供不得分。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检修和保养</w:t>
            </w:r>
          </w:p>
        </w:tc>
        <w:tc>
          <w:tcPr>
            <w:tcW w:type="dxa" w:w="2492"/>
          </w:tcPr>
          <w:p>
            <w:pPr>
              <w:pStyle w:val="null3"/>
            </w:pPr>
            <w:r>
              <w:rPr>
                <w:rFonts w:ascii="仿宋_GB2312" w:hAnsi="仿宋_GB2312" w:cs="仿宋_GB2312" w:eastAsia="仿宋_GB2312"/>
              </w:rPr>
              <w:t>对现有工艺处理过程中所涉及设备的①日常检修 ②设备保养 ③运维细则等进行详细阐述，阐述准确、全面详细，符合实际情况，合理可行的得6分；每有一个缺项扣2分，每有一处内容存在缺陷，扣0.5分，扣完为止。未提供不得分。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检测和检验</w:t>
            </w:r>
          </w:p>
        </w:tc>
        <w:tc>
          <w:tcPr>
            <w:tcW w:type="dxa" w:w="2492"/>
          </w:tcPr>
          <w:p>
            <w:pPr>
              <w:pStyle w:val="null3"/>
            </w:pPr>
            <w:r>
              <w:rPr>
                <w:rFonts w:ascii="仿宋_GB2312" w:hAnsi="仿宋_GB2312" w:cs="仿宋_GB2312" w:eastAsia="仿宋_GB2312"/>
              </w:rPr>
              <w:t>针对本项目提供的检测和检验①水质检测计划②巡检检验标准③具体操作流程及操作规范。内容准确、全面，思路清晰，逻辑严密，符合本项目实际情况及国家、地方相关规范法规要求得6分，每有一个缺项扣2分，每有一处内容存在缺陷，扣0.5分，扣完为止。未提供不得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工艺及技术</w:t>
            </w:r>
          </w:p>
        </w:tc>
        <w:tc>
          <w:tcPr>
            <w:tcW w:type="dxa" w:w="2492"/>
          </w:tcPr>
          <w:p>
            <w:pPr>
              <w:pStyle w:val="null3"/>
            </w:pPr>
            <w:r>
              <w:rPr>
                <w:rFonts w:ascii="仿宋_GB2312" w:hAnsi="仿宋_GB2312" w:cs="仿宋_GB2312" w:eastAsia="仿宋_GB2312"/>
              </w:rPr>
              <w:t>对本项目污水处理工艺及技术的了解 ①工作原理 ②工艺流程图 ③步骤及工艺介绍等。分析准确、全面详细，符合实际情况的得6分；每有一个缺项扣2分，每有一处内容存在缺陷，扣0.5分，扣完为止。未提供不得分。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应急突发预案措施</w:t>
            </w:r>
          </w:p>
        </w:tc>
        <w:tc>
          <w:tcPr>
            <w:tcW w:type="dxa" w:w="2492"/>
          </w:tcPr>
          <w:p>
            <w:pPr>
              <w:pStyle w:val="null3"/>
            </w:pPr>
            <w:r>
              <w:rPr>
                <w:rFonts w:ascii="仿宋_GB2312" w:hAnsi="仿宋_GB2312" w:cs="仿宋_GB2312" w:eastAsia="仿宋_GB2312"/>
              </w:rPr>
              <w:t>针对本项目可能存在的突发事件应急预案①设备瘫痪②水质超标③其他可能的突发事件的应急预案。内容相对较详细全面，相对较科学合理，可操作性较强，针对性较强得6分；每有一个缺项扣2分，每有一处内容存在缺陷，扣0.5分，扣完为止。未提供不得分。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提供2023年3月1日至今供应商的类似业绩证明材料（以合同签订时间为准，附合同复印件加盖投标人公章），每份计2分，满分10分。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竞争性磋商文件要求且最后磋商报价最低的磋商报价为评审基准价，其价格分为满分。其他供应商的价格分统一按照下列公式计算：投标总报价得分＝（评审基准价/最后磋商报价）×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