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DF73C">
      <w:pPr>
        <w:widowControl w:val="0"/>
        <w:tabs>
          <w:tab w:val="left" w:pos="5040"/>
        </w:tabs>
        <w:spacing w:line="480" w:lineRule="atLeast"/>
        <w:ind w:firstLine="0" w:firstLineChars="0"/>
        <w:jc w:val="center"/>
        <w:rPr>
          <w:rFonts w:hint="eastAsia" w:ascii="宋体" w:hAnsi="宋体" w:eastAsia="宋体" w:cs="宋体"/>
          <w:kern w:val="2"/>
          <w:sz w:val="28"/>
          <w:szCs w:val="28"/>
          <w:highlight w:val="none"/>
        </w:rPr>
      </w:pPr>
      <w:r>
        <w:rPr>
          <w:rFonts w:hint="eastAsia" w:ascii="宋体" w:hAnsi="宋体" w:eastAsia="宋体" w:cs="宋体"/>
          <w:b/>
          <w:color w:val="auto"/>
          <w:kern w:val="2"/>
          <w:sz w:val="28"/>
          <w:szCs w:val="28"/>
          <w:highlight w:val="none"/>
        </w:rPr>
        <w:t>（以甲乙双方最终签订合同为准）</w:t>
      </w:r>
    </w:p>
    <w:p w14:paraId="0C2D7CDC">
      <w:pPr>
        <w:widowControl w:val="0"/>
        <w:spacing w:line="240" w:lineRule="auto"/>
        <w:ind w:firstLine="0" w:firstLineChars="0"/>
        <w:jc w:val="both"/>
        <w:rPr>
          <w:rFonts w:hint="eastAsia" w:ascii="宋体" w:hAnsi="宋体" w:eastAsia="宋体" w:cs="宋体"/>
          <w:b/>
          <w:spacing w:val="26"/>
          <w:kern w:val="2"/>
          <w:sz w:val="28"/>
          <w:szCs w:val="24"/>
          <w:highlight w:val="none"/>
        </w:rPr>
      </w:pPr>
    </w:p>
    <w:p w14:paraId="288F0D94">
      <w:pPr>
        <w:widowControl w:val="0"/>
        <w:spacing w:line="240" w:lineRule="auto"/>
        <w:ind w:firstLine="0" w:firstLineChars="0"/>
        <w:jc w:val="both"/>
        <w:rPr>
          <w:rFonts w:hint="eastAsia" w:ascii="宋体" w:hAnsi="宋体" w:eastAsia="宋体" w:cs="宋体"/>
          <w:b/>
          <w:color w:val="auto"/>
          <w:spacing w:val="26"/>
          <w:kern w:val="2"/>
          <w:sz w:val="28"/>
          <w:szCs w:val="24"/>
          <w:highlight w:val="none"/>
        </w:rPr>
      </w:pPr>
    </w:p>
    <w:p w14:paraId="2C797E30">
      <w:pPr>
        <w:widowControl w:val="0"/>
        <w:shd w:val="clear" w:color="auto" w:fill="auto"/>
        <w:spacing w:line="360" w:lineRule="auto"/>
        <w:ind w:firstLine="0" w:firstLineChars="0"/>
        <w:jc w:val="center"/>
        <w:rPr>
          <w:rFonts w:hint="eastAsia" w:ascii="宋体" w:hAnsi="宋体" w:eastAsia="宋体" w:cs="宋体"/>
          <w:b/>
          <w:kern w:val="2"/>
          <w:sz w:val="44"/>
          <w:szCs w:val="48"/>
          <w:highlight w:val="none"/>
        </w:rPr>
      </w:pPr>
      <w:bookmarkStart w:id="0" w:name="_Toc8734774"/>
    </w:p>
    <w:p w14:paraId="596D643E">
      <w:pPr>
        <w:widowControl w:val="0"/>
        <w:spacing w:before="0" w:line="360" w:lineRule="auto"/>
        <w:ind w:firstLine="0" w:firstLineChars="0"/>
        <w:jc w:val="center"/>
        <w:rPr>
          <w:rFonts w:hint="eastAsia" w:ascii="宋体" w:hAnsi="宋体" w:eastAsia="宋体" w:cs="宋体"/>
          <w:b/>
          <w:color w:val="auto"/>
          <w:kern w:val="2"/>
          <w:sz w:val="36"/>
          <w:szCs w:val="36"/>
          <w:highlight w:val="none"/>
          <w:lang w:eastAsia="zh-CN"/>
        </w:rPr>
      </w:pPr>
      <w:r>
        <w:rPr>
          <w:rFonts w:hint="eastAsia" w:cs="宋体"/>
          <w:b/>
          <w:color w:val="auto"/>
          <w:kern w:val="2"/>
          <w:sz w:val="36"/>
          <w:szCs w:val="36"/>
          <w:highlight w:val="none"/>
          <w:lang w:eastAsia="zh-CN"/>
        </w:rPr>
        <w:t>西安高新区庞光街道农村生活污水治理设施运行维护项目</w:t>
      </w:r>
    </w:p>
    <w:p w14:paraId="768CD412">
      <w:pPr>
        <w:widowControl w:val="0"/>
        <w:autoSpaceDE w:val="0"/>
        <w:autoSpaceDN w:val="0"/>
        <w:adjustRightInd w:val="0"/>
        <w:rPr>
          <w:rFonts w:hint="eastAsia" w:ascii="宋体" w:hAnsi="宋体" w:eastAsia="宋体" w:cs="宋体"/>
          <w:color w:val="000000"/>
          <w:sz w:val="24"/>
          <w:szCs w:val="24"/>
          <w:highlight w:val="none"/>
          <w:lang w:val="en-US" w:eastAsia="zh-CN" w:bidi="ar-SA"/>
        </w:rPr>
      </w:pPr>
    </w:p>
    <w:p w14:paraId="7C6EB8AE">
      <w:pPr>
        <w:widowControl w:val="0"/>
        <w:shd w:val="clear" w:color="auto" w:fill="auto"/>
        <w:bidi w:val="0"/>
        <w:spacing w:line="240" w:lineRule="auto"/>
        <w:ind w:firstLine="0" w:firstLineChars="0"/>
        <w:jc w:val="both"/>
        <w:rPr>
          <w:rFonts w:hint="eastAsia" w:ascii="宋体" w:hAnsi="宋体" w:eastAsia="宋体" w:cs="宋体"/>
          <w:kern w:val="2"/>
          <w:szCs w:val="24"/>
          <w:highlight w:val="none"/>
        </w:rPr>
      </w:pPr>
    </w:p>
    <w:p w14:paraId="3F7CCE94">
      <w:pPr>
        <w:widowControl w:val="0"/>
        <w:spacing w:before="0" w:line="360" w:lineRule="auto"/>
        <w:ind w:firstLine="0" w:firstLineChars="0"/>
        <w:jc w:val="center"/>
        <w:rPr>
          <w:rFonts w:hint="eastAsia" w:ascii="宋体" w:hAnsi="宋体" w:eastAsia="宋体" w:cs="宋体"/>
          <w:b/>
          <w:color w:val="auto"/>
          <w:kern w:val="2"/>
          <w:sz w:val="52"/>
          <w:szCs w:val="52"/>
          <w:highlight w:val="none"/>
          <w:lang w:val="en-US" w:eastAsia="zh-CN"/>
        </w:rPr>
      </w:pPr>
      <w:r>
        <w:rPr>
          <w:rFonts w:hint="eastAsia" w:ascii="宋体" w:hAnsi="宋体" w:eastAsia="宋体" w:cs="宋体"/>
          <w:b/>
          <w:color w:val="auto"/>
          <w:kern w:val="2"/>
          <w:sz w:val="52"/>
          <w:szCs w:val="52"/>
          <w:highlight w:val="none"/>
        </w:rPr>
        <w:t>合同</w:t>
      </w:r>
      <w:r>
        <w:rPr>
          <w:rFonts w:hint="eastAsia" w:ascii="宋体" w:hAnsi="宋体" w:eastAsia="宋体" w:cs="宋体"/>
          <w:b/>
          <w:color w:val="auto"/>
          <w:kern w:val="2"/>
          <w:sz w:val="52"/>
          <w:szCs w:val="52"/>
          <w:highlight w:val="none"/>
          <w:lang w:val="en-US" w:eastAsia="zh-CN"/>
        </w:rPr>
        <w:t>协议书</w:t>
      </w:r>
    </w:p>
    <w:p w14:paraId="4AA3F7FD">
      <w:pPr>
        <w:widowControl w:val="0"/>
        <w:shd w:val="clear" w:color="auto" w:fill="auto"/>
        <w:bidi w:val="0"/>
        <w:spacing w:line="240" w:lineRule="auto"/>
        <w:ind w:firstLine="0" w:firstLineChars="0"/>
        <w:jc w:val="both"/>
        <w:rPr>
          <w:rFonts w:hint="eastAsia" w:ascii="宋体" w:hAnsi="宋体" w:eastAsia="宋体" w:cs="宋体"/>
          <w:kern w:val="2"/>
          <w:szCs w:val="24"/>
          <w:highlight w:val="none"/>
        </w:rPr>
      </w:pPr>
    </w:p>
    <w:p w14:paraId="3E6F1680">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28A605E4">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563BA47F">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6D649520">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49C4FB7D">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566B9C46">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04EA2142">
      <w:pPr>
        <w:widowControl w:val="0"/>
        <w:shd w:val="clear" w:color="auto" w:fill="auto"/>
        <w:snapToGrid w:val="0"/>
        <w:spacing w:line="360" w:lineRule="auto"/>
        <w:ind w:firstLine="602" w:firstLineChars="200"/>
        <w:jc w:val="left"/>
        <w:rPr>
          <w:rFonts w:hint="eastAsia" w:ascii="宋体" w:hAnsi="宋体" w:eastAsia="宋体" w:cs="宋体"/>
          <w:b/>
          <w:kern w:val="2"/>
          <w:sz w:val="30"/>
          <w:szCs w:val="30"/>
          <w:highlight w:val="none"/>
          <w:lang w:val="en-US" w:eastAsia="zh-CN"/>
        </w:rPr>
      </w:pPr>
    </w:p>
    <w:p w14:paraId="532FA7A1">
      <w:pPr>
        <w:widowControl w:val="0"/>
        <w:shd w:val="clear" w:color="auto" w:fill="auto"/>
        <w:snapToGrid w:val="0"/>
        <w:spacing w:line="360" w:lineRule="auto"/>
        <w:ind w:firstLine="602" w:firstLineChars="200"/>
        <w:jc w:val="left"/>
        <w:rPr>
          <w:rFonts w:hint="eastAsia"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lang w:val="en-US" w:eastAsia="zh-CN"/>
        </w:rPr>
        <w:t>甲      方</w:t>
      </w:r>
      <w:r>
        <w:rPr>
          <w:rFonts w:hint="eastAsia" w:ascii="宋体" w:hAnsi="宋体" w:eastAsia="宋体" w:cs="宋体"/>
          <w:b/>
          <w:color w:val="auto"/>
          <w:kern w:val="2"/>
          <w:sz w:val="30"/>
          <w:szCs w:val="30"/>
          <w:highlight w:val="none"/>
        </w:rPr>
        <w:t xml:space="preserve"> ：</w:t>
      </w:r>
      <w:r>
        <w:rPr>
          <w:rFonts w:hint="eastAsia" w:ascii="宋体" w:hAnsi="宋体" w:eastAsia="宋体" w:cs="宋体"/>
          <w:b/>
          <w:bCs/>
          <w:color w:val="auto"/>
          <w:kern w:val="2"/>
          <w:sz w:val="30"/>
          <w:szCs w:val="30"/>
          <w:highlight w:val="none"/>
          <w:u w:val="single"/>
        </w:rPr>
        <w:t xml:space="preserve">                                      </w:t>
      </w:r>
    </w:p>
    <w:p w14:paraId="1EF21147">
      <w:pPr>
        <w:widowControl w:val="0"/>
        <w:shd w:val="clear" w:color="auto" w:fill="auto"/>
        <w:spacing w:line="360" w:lineRule="auto"/>
        <w:ind w:firstLine="602" w:firstLineChars="200"/>
        <w:jc w:val="both"/>
        <w:rPr>
          <w:rFonts w:hint="eastAsia" w:ascii="宋体" w:hAnsi="宋体" w:eastAsia="宋体" w:cs="宋体"/>
          <w:b/>
          <w:color w:val="auto"/>
          <w:kern w:val="2"/>
          <w:sz w:val="30"/>
          <w:szCs w:val="30"/>
          <w:highlight w:val="none"/>
        </w:rPr>
      </w:pPr>
    </w:p>
    <w:p w14:paraId="5A66DEC7">
      <w:pPr>
        <w:widowControl w:val="0"/>
        <w:shd w:val="clear" w:color="auto" w:fill="auto"/>
        <w:spacing w:line="360" w:lineRule="auto"/>
        <w:ind w:firstLine="602" w:firstLineChars="200"/>
        <w:jc w:val="left"/>
        <w:rPr>
          <w:rFonts w:hint="eastAsia" w:ascii="宋体" w:hAnsi="宋体" w:eastAsia="宋体" w:cs="宋体"/>
          <w:b/>
          <w:color w:val="auto"/>
          <w:kern w:val="2"/>
          <w:sz w:val="30"/>
          <w:szCs w:val="30"/>
          <w:highlight w:val="none"/>
        </w:rPr>
      </w:pPr>
      <w:r>
        <w:rPr>
          <w:rFonts w:hint="eastAsia" w:ascii="宋体" w:hAnsi="宋体" w:eastAsia="宋体" w:cs="宋体"/>
          <w:b/>
          <w:color w:val="auto"/>
          <w:kern w:val="2"/>
          <w:sz w:val="30"/>
          <w:szCs w:val="30"/>
          <w:highlight w:val="none"/>
          <w:lang w:val="en-US" w:eastAsia="zh-CN"/>
        </w:rPr>
        <w:t>乙      方</w:t>
      </w:r>
      <w:r>
        <w:rPr>
          <w:rFonts w:hint="eastAsia" w:ascii="宋体" w:hAnsi="宋体" w:eastAsia="宋体" w:cs="宋体"/>
          <w:b/>
          <w:color w:val="auto"/>
          <w:kern w:val="2"/>
          <w:sz w:val="30"/>
          <w:szCs w:val="30"/>
          <w:highlight w:val="none"/>
        </w:rPr>
        <w:t xml:space="preserve"> ： </w:t>
      </w:r>
      <w:r>
        <w:rPr>
          <w:rFonts w:hint="eastAsia" w:ascii="宋体" w:hAnsi="宋体" w:eastAsia="宋体" w:cs="宋体"/>
          <w:b/>
          <w:color w:val="auto"/>
          <w:kern w:val="2"/>
          <w:sz w:val="30"/>
          <w:szCs w:val="30"/>
          <w:highlight w:val="none"/>
          <w:u w:val="single"/>
        </w:rPr>
        <w:t xml:space="preserve">                                     </w:t>
      </w:r>
    </w:p>
    <w:p w14:paraId="0553D1DC">
      <w:pPr>
        <w:widowControl w:val="0"/>
        <w:shd w:val="clear" w:color="auto" w:fill="auto"/>
        <w:snapToGrid w:val="0"/>
        <w:spacing w:line="360" w:lineRule="auto"/>
        <w:ind w:firstLine="0" w:firstLineChars="0"/>
        <w:jc w:val="both"/>
        <w:rPr>
          <w:rFonts w:hint="eastAsia" w:ascii="宋体" w:hAnsi="宋体" w:eastAsia="宋体" w:cs="宋体"/>
          <w:b/>
          <w:color w:val="auto"/>
          <w:kern w:val="2"/>
          <w:sz w:val="30"/>
          <w:szCs w:val="30"/>
          <w:highlight w:val="none"/>
        </w:rPr>
      </w:pPr>
    </w:p>
    <w:p w14:paraId="6A29CE17">
      <w:pPr>
        <w:widowControl w:val="0"/>
        <w:shd w:val="clear" w:color="auto" w:fill="auto"/>
        <w:snapToGrid w:val="0"/>
        <w:spacing w:line="360" w:lineRule="auto"/>
        <w:ind w:right="-27" w:firstLine="600" w:firstLineChars="0"/>
        <w:jc w:val="left"/>
        <w:rPr>
          <w:rFonts w:hint="eastAsia" w:ascii="宋体" w:hAnsi="宋体" w:eastAsia="宋体" w:cs="宋体"/>
          <w:b/>
          <w:color w:val="auto"/>
          <w:kern w:val="2"/>
          <w:sz w:val="30"/>
          <w:szCs w:val="30"/>
          <w:highlight w:val="none"/>
          <w:u w:val="single"/>
        </w:rPr>
      </w:pPr>
      <w:r>
        <w:rPr>
          <w:rFonts w:hint="eastAsia" w:ascii="宋体" w:hAnsi="宋体" w:eastAsia="宋体" w:cs="宋体"/>
          <w:b/>
          <w:color w:val="auto"/>
          <w:kern w:val="2"/>
          <w:sz w:val="30"/>
          <w:szCs w:val="30"/>
          <w:highlight w:val="none"/>
        </w:rPr>
        <w:t>签 订 日 期：</w:t>
      </w:r>
      <w:r>
        <w:rPr>
          <w:rFonts w:hint="eastAsia" w:ascii="宋体" w:hAnsi="宋体" w:eastAsia="宋体" w:cs="宋体"/>
          <w:b/>
          <w:color w:val="auto"/>
          <w:kern w:val="2"/>
          <w:sz w:val="30"/>
          <w:szCs w:val="30"/>
          <w:highlight w:val="none"/>
          <w:u w:val="single"/>
        </w:rPr>
        <w:t xml:space="preserve">                                      </w:t>
      </w:r>
    </w:p>
    <w:bookmarkEnd w:id="0"/>
    <w:p w14:paraId="4049177E">
      <w:pPr>
        <w:rPr>
          <w:rFonts w:hint="eastAsia"/>
          <w:color w:val="333333"/>
          <w:sz w:val="48"/>
          <w:szCs w:val="48"/>
          <w:highlight w:val="none"/>
        </w:rPr>
      </w:pPr>
      <w:r>
        <w:rPr>
          <w:rFonts w:hint="eastAsia"/>
          <w:color w:val="333333"/>
          <w:sz w:val="48"/>
          <w:szCs w:val="48"/>
          <w:highlight w:val="none"/>
        </w:rPr>
        <w:br w:type="page"/>
      </w:r>
    </w:p>
    <w:p w14:paraId="1C5D2BBC">
      <w:pPr>
        <w:tabs>
          <w:tab w:val="left" w:pos="5040"/>
        </w:tabs>
        <w:spacing w:line="360" w:lineRule="auto"/>
        <w:ind w:firstLine="422" w:firstLineChars="200"/>
        <w:rPr>
          <w:rFonts w:hint="eastAsia" w:ascii="宋体" w:hAnsi="宋体" w:eastAsia="宋体" w:cs="宋体"/>
          <w:b/>
          <w:bCs/>
          <w:color w:val="auto"/>
          <w:sz w:val="21"/>
          <w:szCs w:val="21"/>
          <w:highlight w:val="none"/>
          <w:lang w:val="zh-CN"/>
        </w:rPr>
      </w:pPr>
      <w:bookmarkStart w:id="1" w:name="OLE_LINK86"/>
      <w:r>
        <w:rPr>
          <w:rFonts w:hint="eastAsia" w:ascii="宋体" w:hAnsi="宋体" w:eastAsia="宋体" w:cs="宋体"/>
          <w:b/>
          <w:bCs/>
          <w:color w:val="auto"/>
          <w:sz w:val="21"/>
          <w:szCs w:val="21"/>
          <w:highlight w:val="none"/>
          <w:lang w:val="zh-CN"/>
        </w:rPr>
        <w:t>甲方：</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lang w:val="zh-CN"/>
        </w:rPr>
        <w:t>（采购人）</w:t>
      </w:r>
    </w:p>
    <w:p w14:paraId="24AA7620">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乙方：</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lang w:val="zh-CN"/>
        </w:rPr>
        <w:t>（</w:t>
      </w:r>
      <w:r>
        <w:rPr>
          <w:rFonts w:hint="eastAsia" w:ascii="宋体" w:hAnsi="宋体" w:eastAsia="宋体" w:cs="宋体"/>
          <w:b/>
          <w:bCs/>
          <w:color w:val="auto"/>
          <w:sz w:val="21"/>
          <w:szCs w:val="21"/>
          <w:highlight w:val="none"/>
          <w:lang w:val="en-US" w:eastAsia="zh-CN"/>
        </w:rPr>
        <w:t>成交</w:t>
      </w:r>
      <w:r>
        <w:rPr>
          <w:rFonts w:hint="eastAsia" w:ascii="宋体" w:hAnsi="宋体" w:eastAsia="宋体" w:cs="宋体"/>
          <w:b/>
          <w:bCs/>
          <w:color w:val="auto"/>
          <w:sz w:val="21"/>
          <w:szCs w:val="21"/>
          <w:highlight w:val="none"/>
          <w:lang w:val="zh-CN"/>
        </w:rPr>
        <w:t>供应商名称）</w:t>
      </w:r>
    </w:p>
    <w:p w14:paraId="10B8F511">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依据《中华人民共和国民法典》和《中华人民共和国政府采购法》</w:t>
      </w:r>
      <w:r>
        <w:rPr>
          <w:rFonts w:hint="eastAsia" w:ascii="宋体" w:hAnsi="宋体" w:eastAsia="宋体" w:cs="宋体"/>
          <w:color w:val="auto"/>
          <w:sz w:val="21"/>
          <w:szCs w:val="21"/>
          <w:highlight w:val="none"/>
          <w:lang w:val="en-US" w:eastAsia="zh-CN"/>
        </w:rPr>
        <w:t>等相关法规</w:t>
      </w:r>
      <w:r>
        <w:rPr>
          <w:rFonts w:hint="eastAsia" w:ascii="宋体" w:hAnsi="宋体" w:eastAsia="宋体" w:cs="宋体"/>
          <w:color w:val="auto"/>
          <w:sz w:val="21"/>
          <w:szCs w:val="21"/>
          <w:highlight w:val="none"/>
          <w:lang w:val="zh-CN"/>
        </w:rPr>
        <w:t>，经双方协商按下述条款和条件签署本合同。</w:t>
      </w:r>
    </w:p>
    <w:p w14:paraId="40C2ABF6">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一、合同内容：</w:t>
      </w:r>
    </w:p>
    <w:p w14:paraId="5B74EF51">
      <w:pPr>
        <w:autoSpaceDE w:val="0"/>
        <w:autoSpaceDN w:val="0"/>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本项目运营范围为2座污水处理站、7座提升泵站、83.95公里配套污水收集管网及其他附属设施。为确保高新区农村污水处理设施正常稳定运行，充分发挥设施环境效益和社会效益，需将场站设备、配套管网及其他附属设施委托具有专业技术及运营管理能力的运营商进行运维。</w:t>
      </w:r>
    </w:p>
    <w:p w14:paraId="213FC604">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二、合同价款</w:t>
      </w:r>
      <w:r>
        <w:rPr>
          <w:rFonts w:hint="eastAsia" w:ascii="宋体" w:hAnsi="宋体" w:eastAsia="宋体" w:cs="宋体"/>
          <w:b/>
          <w:bCs/>
          <w:color w:val="auto"/>
          <w:sz w:val="21"/>
          <w:szCs w:val="21"/>
          <w:highlight w:val="none"/>
        </w:rPr>
        <w:t>及结算</w:t>
      </w:r>
      <w:r>
        <w:rPr>
          <w:rFonts w:hint="eastAsia" w:ascii="宋体" w:hAnsi="宋体" w:eastAsia="宋体" w:cs="宋体"/>
          <w:b/>
          <w:bCs/>
          <w:color w:val="auto"/>
          <w:sz w:val="21"/>
          <w:szCs w:val="21"/>
          <w:highlight w:val="none"/>
          <w:lang w:val="zh-CN"/>
        </w:rPr>
        <w:t>：</w:t>
      </w:r>
    </w:p>
    <w:p w14:paraId="57CF5940">
      <w:pPr>
        <w:autoSpaceDE w:val="0"/>
        <w:autoSpaceDN w:val="0"/>
        <w:adjustRightInd w:val="0"/>
        <w:snapToGrid w:val="0"/>
        <w:spacing w:line="360" w:lineRule="auto"/>
        <w:ind w:firstLine="420" w:firstLineChars="200"/>
        <w:rPr>
          <w:rFonts w:hint="eastAsia" w:ascii="宋体" w:hAnsi="宋体" w:eastAsia="宋体" w:cs="宋体"/>
          <w:b w:val="0"/>
          <w:bCs w:val="0"/>
          <w:color w:val="auto"/>
          <w:sz w:val="21"/>
          <w:szCs w:val="21"/>
          <w:highlight w:val="none"/>
          <w:u w:val="single"/>
        </w:rPr>
      </w:pPr>
      <w:bookmarkStart w:id="2" w:name="OLE_LINK84"/>
      <w:r>
        <w:rPr>
          <w:rFonts w:hint="eastAsia" w:ascii="宋体" w:hAnsi="宋体" w:eastAsia="宋体" w:cs="宋体"/>
          <w:b w:val="0"/>
          <w:bCs w:val="0"/>
          <w:color w:val="auto"/>
          <w:sz w:val="21"/>
          <w:szCs w:val="21"/>
          <w:highlight w:val="none"/>
          <w:lang w:val="zh-CN"/>
        </w:rPr>
        <w:t>1、合同总价：</w:t>
      </w:r>
      <w:bookmarkStart w:id="3" w:name="OLE_LINK83"/>
      <w:r>
        <w:rPr>
          <w:rFonts w:hint="eastAsia" w:ascii="宋体" w:hAnsi="宋体" w:cs="宋体"/>
          <w:b w:val="0"/>
          <w:bCs w:val="0"/>
          <w:color w:val="auto"/>
          <w:sz w:val="21"/>
          <w:szCs w:val="21"/>
          <w:highlight w:val="none"/>
          <w:u w:val="none"/>
          <w:lang w:val="en-US" w:eastAsia="zh-CN"/>
        </w:rPr>
        <w:t>人民币：</w:t>
      </w:r>
      <w:bookmarkEnd w:id="3"/>
      <w:r>
        <w:rPr>
          <w:rFonts w:hint="eastAsia" w:ascii="宋体" w:hAnsi="宋体" w:eastAsia="宋体" w:cs="宋体"/>
          <w:b w:val="0"/>
          <w:bCs w:val="0"/>
          <w:color w:val="auto"/>
          <w:sz w:val="21"/>
          <w:szCs w:val="21"/>
          <w:highlight w:val="none"/>
          <w:u w:val="single"/>
        </w:rPr>
        <w:t xml:space="preserve">          </w:t>
      </w:r>
      <w:bookmarkStart w:id="4" w:name="OLE_LINK82"/>
      <w:r>
        <w:rPr>
          <w:rFonts w:hint="eastAsia" w:ascii="宋体" w:hAnsi="宋体" w:cs="宋体"/>
          <w:b w:val="0"/>
          <w:bCs w:val="0"/>
          <w:color w:val="auto"/>
          <w:sz w:val="21"/>
          <w:szCs w:val="21"/>
          <w:highlight w:val="none"/>
          <w:u w:val="none"/>
          <w:lang w:eastAsia="zh-CN"/>
        </w:rPr>
        <w:t>（</w:t>
      </w:r>
      <w:r>
        <w:rPr>
          <w:rFonts w:hint="eastAsia" w:ascii="宋体" w:hAnsi="宋体" w:cs="宋体"/>
          <w:b w:val="0"/>
          <w:bCs w:val="0"/>
          <w:color w:val="auto"/>
          <w:sz w:val="21"/>
          <w:szCs w:val="21"/>
          <w:highlight w:val="none"/>
          <w:u w:val="none"/>
          <w:lang w:val="en-US" w:eastAsia="zh-CN"/>
        </w:rPr>
        <w:t>¥：</w:t>
      </w:r>
      <w:bookmarkEnd w:id="4"/>
      <w:r>
        <w:rPr>
          <w:rFonts w:hint="eastAsia" w:ascii="宋体" w:hAnsi="宋体" w:cs="宋体"/>
          <w:b w:val="0"/>
          <w:bCs w:val="0"/>
          <w:color w:val="auto"/>
          <w:sz w:val="21"/>
          <w:szCs w:val="21"/>
          <w:highlight w:val="none"/>
          <w:u w:val="single"/>
          <w:lang w:val="en-US" w:eastAsia="zh-CN"/>
        </w:rPr>
        <w:t xml:space="preserve">              </w:t>
      </w:r>
      <w:bookmarkStart w:id="5" w:name="OLE_LINK81"/>
      <w:r>
        <w:rPr>
          <w:rFonts w:hint="eastAsia" w:ascii="宋体" w:hAnsi="宋体" w:cs="宋体"/>
          <w:b w:val="0"/>
          <w:bCs w:val="0"/>
          <w:color w:val="auto"/>
          <w:sz w:val="21"/>
          <w:szCs w:val="21"/>
          <w:highlight w:val="none"/>
          <w:u w:val="none"/>
          <w:lang w:eastAsia="zh-CN"/>
        </w:rPr>
        <w:t>）</w:t>
      </w:r>
      <w:bookmarkEnd w:id="5"/>
    </w:p>
    <w:p w14:paraId="4696313F">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u w:val="single"/>
          <w:lang w:val="en-US"/>
        </w:rPr>
      </w:pPr>
      <w:bookmarkStart w:id="6" w:name="OLE_LINK59"/>
      <w:bookmarkStart w:id="7" w:name="OLE_LINK96"/>
      <w:r>
        <w:rPr>
          <w:rFonts w:hint="eastAsia" w:ascii="宋体" w:hAnsi="宋体" w:eastAsia="宋体" w:cs="宋体"/>
          <w:b w:val="0"/>
          <w:bCs w:val="0"/>
          <w:color w:val="auto"/>
          <w:sz w:val="21"/>
          <w:szCs w:val="21"/>
          <w:highlight w:val="none"/>
        </w:rPr>
        <w:t>2</w:t>
      </w:r>
      <w:r>
        <w:rPr>
          <w:rFonts w:hint="eastAsia" w:ascii="宋体" w:hAnsi="宋体" w:eastAsia="宋体" w:cs="宋体"/>
          <w:b w:val="0"/>
          <w:bCs w:val="0"/>
          <w:color w:val="auto"/>
          <w:sz w:val="21"/>
          <w:szCs w:val="21"/>
          <w:highlight w:val="none"/>
          <w:lang w:val="zh-CN"/>
        </w:rPr>
        <w:t>、</w:t>
      </w:r>
      <w:r>
        <w:rPr>
          <w:rFonts w:hint="eastAsia" w:ascii="宋体" w:hAnsi="宋体"/>
          <w:b w:val="0"/>
          <w:bCs w:val="0"/>
          <w:color w:val="auto"/>
          <w:sz w:val="21"/>
          <w:szCs w:val="21"/>
          <w:highlight w:val="none"/>
          <w:lang w:val="en-US" w:eastAsia="zh-CN"/>
        </w:rPr>
        <w:t>合同总价包括：价格内容包括但不限于</w:t>
      </w:r>
      <w:r>
        <w:rPr>
          <w:rFonts w:hint="eastAsia" w:ascii="宋体" w:hAnsi="宋体" w:eastAsia="宋体" w:cs="宋体"/>
          <w:color w:val="auto"/>
          <w:highlight w:val="none"/>
        </w:rPr>
        <w:t>人工费、</w:t>
      </w:r>
      <w:r>
        <w:rPr>
          <w:rFonts w:hint="eastAsia" w:ascii="宋体" w:hAnsi="宋体" w:cs="宋体"/>
          <w:color w:val="auto"/>
          <w:highlight w:val="none"/>
          <w:lang w:val="en-US" w:eastAsia="zh-CN"/>
        </w:rPr>
        <w:t>运维费、</w:t>
      </w:r>
      <w:r>
        <w:rPr>
          <w:rFonts w:hint="eastAsia" w:ascii="宋体" w:hAnsi="宋体" w:eastAsia="宋体" w:cs="宋体"/>
          <w:color w:val="auto"/>
          <w:highlight w:val="none"/>
        </w:rPr>
        <w:t>税金</w:t>
      </w:r>
      <w:r>
        <w:rPr>
          <w:rFonts w:hint="eastAsia" w:ascii="宋体" w:hAnsi="宋体"/>
          <w:b w:val="0"/>
          <w:bCs w:val="0"/>
          <w:color w:val="auto"/>
          <w:sz w:val="21"/>
          <w:szCs w:val="21"/>
          <w:highlight w:val="none"/>
          <w:lang w:val="en-US" w:eastAsia="zh-CN"/>
        </w:rPr>
        <w:t>等所有完成服务要求所需的一切费用。</w:t>
      </w:r>
    </w:p>
    <w:bookmarkEnd w:id="6"/>
    <w:p w14:paraId="125E5CF1">
      <w:pPr>
        <w:autoSpaceDE w:val="0"/>
        <w:autoSpaceDN w:val="0"/>
        <w:adjustRightInd w:val="0"/>
        <w:snapToGrid w:val="0"/>
        <w:spacing w:line="360" w:lineRule="auto"/>
        <w:ind w:firstLine="420" w:firstLineChars="200"/>
        <w:rPr>
          <w:rFonts w:hint="eastAsia" w:ascii="宋体" w:hAnsi="宋体"/>
          <w:b w:val="0"/>
          <w:bCs w:val="0"/>
          <w:color w:val="auto"/>
          <w:sz w:val="21"/>
          <w:szCs w:val="21"/>
          <w:highlight w:val="none"/>
          <w:lang w:val="zh-CN"/>
        </w:rPr>
      </w:pPr>
      <w:bookmarkStart w:id="8" w:name="OLE_LINK88"/>
      <w:r>
        <w:rPr>
          <w:rFonts w:hint="eastAsia" w:ascii="宋体" w:hAnsi="宋体"/>
          <w:b w:val="0"/>
          <w:bCs w:val="0"/>
          <w:color w:val="auto"/>
          <w:sz w:val="21"/>
          <w:szCs w:val="21"/>
          <w:highlight w:val="none"/>
          <w:lang w:val="en-US" w:eastAsia="zh-CN"/>
        </w:rPr>
        <w:t>3、</w:t>
      </w:r>
      <w:r>
        <w:rPr>
          <w:rFonts w:hint="eastAsia" w:ascii="宋体" w:hAnsi="宋体"/>
          <w:b w:val="0"/>
          <w:bCs w:val="0"/>
          <w:color w:val="auto"/>
          <w:sz w:val="21"/>
          <w:szCs w:val="21"/>
          <w:highlight w:val="none"/>
          <w:lang w:val="zh-CN"/>
        </w:rPr>
        <w:t>合同</w:t>
      </w:r>
      <w:r>
        <w:rPr>
          <w:rFonts w:hint="eastAsia" w:ascii="宋体" w:hAnsi="宋体"/>
          <w:b w:val="0"/>
          <w:bCs w:val="0"/>
          <w:color w:val="auto"/>
          <w:sz w:val="21"/>
          <w:szCs w:val="21"/>
          <w:highlight w:val="none"/>
          <w:lang w:val="en-US" w:eastAsia="zh-CN"/>
        </w:rPr>
        <w:t>总价</w:t>
      </w:r>
      <w:r>
        <w:rPr>
          <w:rFonts w:hint="eastAsia" w:ascii="宋体" w:hAnsi="宋体"/>
          <w:b w:val="0"/>
          <w:bCs w:val="0"/>
          <w:color w:val="auto"/>
          <w:sz w:val="21"/>
          <w:szCs w:val="21"/>
          <w:highlight w:val="none"/>
          <w:lang w:val="zh-CN"/>
        </w:rPr>
        <w:t>一次性包死，不受市场价格变化因素的影响。</w:t>
      </w:r>
    </w:p>
    <w:p w14:paraId="6CDF2C32">
      <w:pPr>
        <w:autoSpaceDE w:val="0"/>
        <w:autoSpaceDN w:val="0"/>
        <w:adjustRightInd w:val="0"/>
        <w:snapToGrid w:val="0"/>
        <w:spacing w:line="360" w:lineRule="auto"/>
        <w:ind w:firstLine="420" w:firstLineChars="200"/>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4、付款方式：</w:t>
      </w:r>
      <w:bookmarkStart w:id="9" w:name="OLE_LINK93"/>
      <w:bookmarkStart w:id="10" w:name="OLE_LINK90"/>
      <w:r>
        <w:rPr>
          <w:rFonts w:hint="eastAsia" w:ascii="宋体" w:hAnsi="宋体" w:eastAsia="宋体" w:cs="宋体"/>
          <w:b w:val="0"/>
          <w:bCs w:val="0"/>
          <w:color w:val="auto"/>
          <w:sz w:val="21"/>
          <w:szCs w:val="21"/>
          <w:highlight w:val="none"/>
          <w:u w:val="single"/>
          <w:lang w:val="en-US" w:eastAsia="zh-CN"/>
        </w:rPr>
        <w:t>1.合同签订后，服务费按半年期分期支付。每半年度服务期满，经甲方验收合格，且乙方提供等额合规的增值税发票后 ，甲方向乙方支付合同总价款的50%；服务期满一年，经甲方终验合格，且乙方提供剩余等额发票后</w:t>
      </w:r>
      <w:r>
        <w:rPr>
          <w:rFonts w:hint="eastAsia" w:cs="宋体"/>
          <w:b w:val="0"/>
          <w:bCs w:val="0"/>
          <w:color w:val="auto"/>
          <w:sz w:val="21"/>
          <w:szCs w:val="21"/>
          <w:highlight w:val="none"/>
          <w:u w:val="single"/>
          <w:lang w:val="en-US" w:eastAsia="zh-CN"/>
        </w:rPr>
        <w:t>,支付</w:t>
      </w:r>
      <w:r>
        <w:rPr>
          <w:rFonts w:hint="eastAsia" w:ascii="宋体" w:hAnsi="宋体" w:eastAsia="宋体" w:cs="宋体"/>
          <w:b w:val="0"/>
          <w:bCs w:val="0"/>
          <w:color w:val="auto"/>
          <w:sz w:val="21"/>
          <w:szCs w:val="21"/>
          <w:highlight w:val="none"/>
          <w:u w:val="single"/>
          <w:lang w:val="en-US" w:eastAsia="zh-CN"/>
        </w:rPr>
        <w:t>剩余合同总金额的 50.00%。乙方未</w:t>
      </w:r>
      <w:bookmarkStart w:id="13" w:name="_GoBack"/>
      <w:bookmarkEnd w:id="13"/>
      <w:r>
        <w:rPr>
          <w:rFonts w:hint="eastAsia" w:ascii="宋体" w:hAnsi="宋体" w:eastAsia="宋体" w:cs="宋体"/>
          <w:b w:val="0"/>
          <w:bCs w:val="0"/>
          <w:color w:val="auto"/>
          <w:sz w:val="21"/>
          <w:szCs w:val="21"/>
          <w:highlight w:val="none"/>
          <w:u w:val="single"/>
          <w:lang w:val="en-US" w:eastAsia="zh-CN"/>
        </w:rPr>
        <w:t>按约定提供足额、合规发票的，甲方有权顺延付款期限，且不承担逾期付款违约责任；由此造成的付款延迟及损失，由乙方自行承担。</w:t>
      </w:r>
    </w:p>
    <w:bookmarkEnd w:id="8"/>
    <w:p w14:paraId="31F4E3DC">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u w:val="single"/>
          <w:lang w:val="en-US" w:eastAsia="zh-CN"/>
        </w:rPr>
      </w:pPr>
      <w:bookmarkStart w:id="11" w:name="OLE_LINK89"/>
      <w:r>
        <w:rPr>
          <w:rFonts w:hint="eastAsia" w:ascii="宋体" w:hAnsi="宋体" w:eastAsia="宋体" w:cs="宋体"/>
          <w:b w:val="0"/>
          <w:bCs w:val="0"/>
          <w:color w:val="auto"/>
          <w:sz w:val="21"/>
          <w:szCs w:val="21"/>
          <w:highlight w:val="none"/>
          <w:u w:val="single"/>
          <w:lang w:val="en-US" w:eastAsia="zh-CN"/>
        </w:rPr>
        <w:t>2.</w:t>
      </w:r>
      <w:bookmarkEnd w:id="9"/>
      <w:r>
        <w:rPr>
          <w:rFonts w:hint="default" w:ascii="宋体" w:hAnsi="宋体" w:eastAsia="宋体" w:cs="宋体"/>
          <w:b w:val="0"/>
          <w:bCs w:val="0"/>
          <w:color w:val="auto"/>
          <w:sz w:val="21"/>
          <w:szCs w:val="21"/>
          <w:highlight w:val="none"/>
          <w:u w:val="single"/>
          <w:lang w:val="en-US" w:eastAsia="zh-CN"/>
        </w:rPr>
        <w:t>项目执行过程中如遇运维模式政策性调整或其他不可抗力因素影响，导致运维服务不能正常进行的，甲方将按实际运维的时间向乙方支付运维费用；如乙方在项目运维过程中提供的服务不能满足采购要求的，甲方可单方面终止合同，并要求乙方对造成的损失进行赔偿。</w:t>
      </w:r>
    </w:p>
    <w:bookmarkEnd w:id="2"/>
    <w:bookmarkEnd w:id="7"/>
    <w:bookmarkEnd w:id="10"/>
    <w:bookmarkEnd w:id="11"/>
    <w:p w14:paraId="4E9644E6">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三</w:t>
      </w:r>
      <w:r>
        <w:rPr>
          <w:rFonts w:hint="eastAsia" w:ascii="宋体" w:hAnsi="宋体" w:eastAsia="宋体" w:cs="宋体"/>
          <w:b/>
          <w:bCs/>
          <w:color w:val="auto"/>
          <w:sz w:val="21"/>
          <w:szCs w:val="21"/>
          <w:highlight w:val="none"/>
          <w:lang w:val="zh-CN"/>
        </w:rPr>
        <w:t>、</w:t>
      </w:r>
      <w:r>
        <w:rPr>
          <w:rFonts w:hint="eastAsia" w:ascii="宋体" w:hAnsi="宋体" w:cs="宋体"/>
          <w:b/>
          <w:bCs/>
          <w:color w:val="auto"/>
          <w:sz w:val="21"/>
          <w:szCs w:val="21"/>
          <w:highlight w:val="none"/>
          <w:lang w:eastAsia="zh-CN"/>
        </w:rPr>
        <w:t>服务期限</w:t>
      </w:r>
      <w:r>
        <w:rPr>
          <w:rFonts w:hint="eastAsia" w:ascii="宋体" w:hAnsi="宋体" w:eastAsia="宋体" w:cs="宋体"/>
          <w:b/>
          <w:bCs/>
          <w:color w:val="auto"/>
          <w:sz w:val="21"/>
          <w:szCs w:val="21"/>
          <w:highlight w:val="none"/>
          <w:lang w:val="zh-CN"/>
        </w:rPr>
        <w:t>：</w:t>
      </w:r>
      <w:r>
        <w:rPr>
          <w:rFonts w:hint="eastAsia" w:ascii="宋体" w:hAnsi="宋体" w:eastAsia="宋体" w:cs="宋体"/>
          <w:b/>
          <w:bCs/>
          <w:color w:val="auto"/>
          <w:sz w:val="21"/>
          <w:szCs w:val="21"/>
          <w:highlight w:val="none"/>
          <w:u w:val="single"/>
        </w:rPr>
        <w:t xml:space="preserve"> </w:t>
      </w:r>
      <w:bookmarkStart w:id="12" w:name="OLE_LINK85"/>
      <w:r>
        <w:rPr>
          <w:rFonts w:hint="eastAsia" w:ascii="宋体" w:hAnsi="宋体" w:eastAsia="宋体" w:cs="宋体"/>
          <w:b/>
          <w:bCs/>
          <w:color w:val="auto"/>
          <w:sz w:val="21"/>
          <w:szCs w:val="21"/>
          <w:highlight w:val="none"/>
          <w:u w:val="single"/>
        </w:rPr>
        <w:t xml:space="preserve">  </w:t>
      </w:r>
      <w:r>
        <w:rPr>
          <w:rFonts w:hint="eastAsia" w:cs="宋体"/>
          <w:b/>
          <w:bCs/>
          <w:color w:val="auto"/>
          <w:sz w:val="21"/>
          <w:szCs w:val="21"/>
          <w:highlight w:val="none"/>
          <w:u w:val="single"/>
          <w:lang w:val="en-US" w:eastAsia="zh-CN"/>
        </w:rPr>
        <w:t>一年</w:t>
      </w:r>
      <w:r>
        <w:rPr>
          <w:rFonts w:hint="eastAsia" w:ascii="宋体" w:hAnsi="宋体" w:eastAsia="宋体" w:cs="宋体"/>
          <w:b/>
          <w:bCs/>
          <w:color w:val="auto"/>
          <w:sz w:val="21"/>
          <w:szCs w:val="21"/>
          <w:highlight w:val="none"/>
          <w:u w:val="single"/>
        </w:rPr>
        <w:t xml:space="preserve">                              </w:t>
      </w:r>
      <w:bookmarkEnd w:id="12"/>
    </w:p>
    <w:p w14:paraId="442C4F00">
      <w:pPr>
        <w:autoSpaceDE w:val="0"/>
        <w:autoSpaceDN w:val="0"/>
        <w:adjustRightInd w:val="0"/>
        <w:snapToGrid w:val="0"/>
        <w:spacing w:line="360" w:lineRule="auto"/>
        <w:ind w:firstLine="422" w:firstLineChars="200"/>
        <w:rPr>
          <w:rFonts w:hint="default" w:ascii="宋体" w:hAnsi="宋体" w:eastAsia="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四、服务要求：</w:t>
      </w:r>
    </w:p>
    <w:p w14:paraId="0A600665">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1.污水处理站运维要求。</w:t>
      </w:r>
      <w:r>
        <w:rPr>
          <w:rFonts w:hint="eastAsia" w:ascii="宋体" w:hAnsi="宋体" w:eastAsia="宋体" w:cs="宋体"/>
          <w:b w:val="0"/>
          <w:bCs w:val="0"/>
          <w:color w:val="auto"/>
          <w:sz w:val="21"/>
          <w:szCs w:val="21"/>
          <w:highlight w:val="none"/>
          <w:lang w:val="en-US" w:eastAsia="zh-CN"/>
        </w:rPr>
        <w:t>王寨及化羊</w:t>
      </w:r>
      <w:r>
        <w:rPr>
          <w:rFonts w:hint="default" w:ascii="宋体" w:hAnsi="宋体" w:eastAsia="宋体" w:cs="宋体"/>
          <w:b w:val="0"/>
          <w:bCs w:val="0"/>
          <w:color w:val="auto"/>
          <w:sz w:val="21"/>
          <w:szCs w:val="21"/>
          <w:highlight w:val="none"/>
          <w:lang w:val="en-US" w:eastAsia="zh-CN"/>
        </w:rPr>
        <w:t>污水站，运维期间，实际日处理</w:t>
      </w:r>
      <w:r>
        <w:rPr>
          <w:rFonts w:hint="eastAsia" w:ascii="宋体" w:hAnsi="宋体" w:eastAsia="宋体" w:cs="宋体"/>
          <w:b w:val="0"/>
          <w:bCs w:val="0"/>
          <w:color w:val="auto"/>
          <w:sz w:val="21"/>
          <w:szCs w:val="21"/>
          <w:highlight w:val="none"/>
          <w:lang w:val="en-US" w:eastAsia="zh-CN"/>
        </w:rPr>
        <w:t>量满足要求</w:t>
      </w:r>
      <w:r>
        <w:rPr>
          <w:rFonts w:hint="default"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出水水质达标，</w:t>
      </w:r>
      <w:r>
        <w:rPr>
          <w:rFonts w:hint="default" w:ascii="宋体" w:hAnsi="宋体" w:eastAsia="宋体" w:cs="宋体"/>
          <w:b w:val="0"/>
          <w:bCs w:val="0"/>
          <w:color w:val="auto"/>
          <w:sz w:val="21"/>
          <w:szCs w:val="21"/>
          <w:highlight w:val="none"/>
          <w:lang w:val="en-US" w:eastAsia="zh-CN"/>
        </w:rPr>
        <w:t>污水处理设施处理后出水水质达到陕西省地方标准《农村生活污水处理设施水污染物排放标准》（DB61/1227-2018）</w:t>
      </w:r>
    </w:p>
    <w:p w14:paraId="4C12CAFF">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污水处理站统计表</w:t>
      </w:r>
    </w:p>
    <w:tbl>
      <w:tblPr>
        <w:tblStyle w:val="4"/>
        <w:tblW w:w="88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
        <w:gridCol w:w="2814"/>
        <w:gridCol w:w="3840"/>
        <w:gridCol w:w="1500"/>
      </w:tblGrid>
      <w:tr w14:paraId="28CA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42" w:type="dxa"/>
            <w:shd w:val="clear" w:color="auto" w:fill="auto"/>
            <w:noWrap/>
            <w:vAlign w:val="center"/>
          </w:tcPr>
          <w:p w14:paraId="489F4A91">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序号</w:t>
            </w:r>
          </w:p>
        </w:tc>
        <w:tc>
          <w:tcPr>
            <w:tcW w:w="2814" w:type="dxa"/>
            <w:shd w:val="clear" w:color="auto" w:fill="auto"/>
            <w:noWrap/>
            <w:vAlign w:val="center"/>
          </w:tcPr>
          <w:p w14:paraId="4CD8362C">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名称</w:t>
            </w:r>
          </w:p>
        </w:tc>
        <w:tc>
          <w:tcPr>
            <w:tcW w:w="3840" w:type="dxa"/>
            <w:shd w:val="clear" w:color="auto" w:fill="auto"/>
            <w:noWrap/>
            <w:vAlign w:val="center"/>
          </w:tcPr>
          <w:p w14:paraId="274917BB">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设计规模</w:t>
            </w:r>
          </w:p>
        </w:tc>
        <w:tc>
          <w:tcPr>
            <w:tcW w:w="1500" w:type="dxa"/>
            <w:vAlign w:val="center"/>
          </w:tcPr>
          <w:p w14:paraId="1E32F3D6">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排放标准</w:t>
            </w:r>
          </w:p>
        </w:tc>
      </w:tr>
      <w:tr w14:paraId="5DC6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42" w:type="dxa"/>
            <w:shd w:val="clear" w:color="auto" w:fill="auto"/>
            <w:noWrap/>
            <w:vAlign w:val="top"/>
          </w:tcPr>
          <w:p w14:paraId="41FF2608">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814" w:type="dxa"/>
            <w:shd w:val="clear" w:color="auto" w:fill="auto"/>
            <w:noWrap/>
            <w:vAlign w:val="center"/>
          </w:tcPr>
          <w:p w14:paraId="50BD3970">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zh-CN" w:eastAsia="zh-CN"/>
              </w:rPr>
              <w:t>王寨村污水处理站</w:t>
            </w:r>
          </w:p>
        </w:tc>
        <w:tc>
          <w:tcPr>
            <w:tcW w:w="3840" w:type="dxa"/>
            <w:shd w:val="clear" w:color="auto" w:fill="auto"/>
            <w:noWrap/>
            <w:vAlign w:val="center"/>
          </w:tcPr>
          <w:p w14:paraId="6F3541A7">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zh-CN" w:eastAsia="zh-CN"/>
              </w:rPr>
              <w:t>200立方米/日</w:t>
            </w:r>
          </w:p>
        </w:tc>
        <w:tc>
          <w:tcPr>
            <w:tcW w:w="1500" w:type="dxa"/>
            <w:shd w:val="clear" w:color="auto" w:fill="auto"/>
            <w:vAlign w:val="center"/>
          </w:tcPr>
          <w:p w14:paraId="71EB9B74">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zh-CN" w:eastAsia="zh-CN"/>
              </w:rPr>
              <w:t>二级标准</w:t>
            </w:r>
          </w:p>
        </w:tc>
      </w:tr>
      <w:tr w14:paraId="59C48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42" w:type="dxa"/>
            <w:shd w:val="clear" w:color="auto" w:fill="auto"/>
            <w:noWrap/>
            <w:vAlign w:val="top"/>
          </w:tcPr>
          <w:p w14:paraId="2B19ECE1">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814" w:type="dxa"/>
            <w:shd w:val="clear" w:color="auto" w:fill="auto"/>
            <w:noWrap/>
            <w:vAlign w:val="center"/>
          </w:tcPr>
          <w:p w14:paraId="5A1CF227">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化羊村污水处理站</w:t>
            </w:r>
          </w:p>
        </w:tc>
        <w:tc>
          <w:tcPr>
            <w:tcW w:w="3840" w:type="dxa"/>
            <w:shd w:val="clear" w:color="auto" w:fill="auto"/>
            <w:noWrap/>
            <w:vAlign w:val="center"/>
          </w:tcPr>
          <w:p w14:paraId="5719810A">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300立方米/日</w:t>
            </w:r>
          </w:p>
        </w:tc>
        <w:tc>
          <w:tcPr>
            <w:tcW w:w="1500" w:type="dxa"/>
            <w:shd w:val="clear" w:color="auto" w:fill="auto"/>
            <w:vAlign w:val="center"/>
          </w:tcPr>
          <w:p w14:paraId="48A5286D">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二级标准</w:t>
            </w:r>
          </w:p>
        </w:tc>
      </w:tr>
      <w:tr w14:paraId="0AA5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42" w:type="dxa"/>
            <w:shd w:val="clear" w:color="auto" w:fill="auto"/>
            <w:noWrap/>
            <w:vAlign w:val="top"/>
          </w:tcPr>
          <w:p w14:paraId="08646D5C">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8154" w:type="dxa"/>
            <w:gridSpan w:val="3"/>
            <w:shd w:val="clear" w:color="auto" w:fill="auto"/>
            <w:noWrap/>
            <w:vAlign w:val="center"/>
          </w:tcPr>
          <w:p w14:paraId="3FE7A8B0">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en-US" w:eastAsia="zh-CN"/>
              </w:rPr>
              <w:t>2</w:t>
            </w:r>
            <w:r>
              <w:rPr>
                <w:rFonts w:hint="default" w:ascii="宋体" w:hAnsi="宋体" w:eastAsia="宋体" w:cs="宋体"/>
                <w:b w:val="0"/>
                <w:bCs w:val="0"/>
                <w:color w:val="auto"/>
                <w:sz w:val="21"/>
                <w:szCs w:val="21"/>
                <w:highlight w:val="none"/>
                <w:lang w:val="en-US" w:eastAsia="zh-CN"/>
              </w:rPr>
              <w:t>座污水处理站，设计处理能力</w:t>
            </w:r>
            <w:r>
              <w:rPr>
                <w:rFonts w:hint="eastAsia" w:ascii="宋体" w:hAnsi="宋体" w:eastAsia="宋体" w:cs="宋体"/>
                <w:b w:val="0"/>
                <w:bCs w:val="0"/>
                <w:color w:val="auto"/>
                <w:sz w:val="21"/>
                <w:szCs w:val="21"/>
                <w:highlight w:val="none"/>
                <w:lang w:val="en-US" w:eastAsia="zh-CN"/>
              </w:rPr>
              <w:t>500</w:t>
            </w:r>
            <w:r>
              <w:rPr>
                <w:rFonts w:hint="default" w:ascii="宋体" w:hAnsi="宋体" w:eastAsia="宋体" w:cs="宋体"/>
                <w:b w:val="0"/>
                <w:bCs w:val="0"/>
                <w:color w:val="auto"/>
                <w:sz w:val="21"/>
                <w:szCs w:val="21"/>
                <w:highlight w:val="none"/>
                <w:lang w:val="en-US" w:eastAsia="zh-CN"/>
              </w:rPr>
              <w:t>立方米/日</w:t>
            </w:r>
          </w:p>
        </w:tc>
      </w:tr>
    </w:tbl>
    <w:p w14:paraId="3D80744E">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2.污水收集系统和其他附属设施运维要求。</w:t>
      </w:r>
    </w:p>
    <w:p w14:paraId="5A0103AC">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2.1提升泵站运维要求。负责</w:t>
      </w:r>
      <w:r>
        <w:rPr>
          <w:rFonts w:hint="eastAsia" w:ascii="宋体" w:hAnsi="宋体" w:eastAsia="宋体" w:cs="宋体"/>
          <w:b w:val="0"/>
          <w:bCs w:val="0"/>
          <w:color w:val="auto"/>
          <w:sz w:val="21"/>
          <w:szCs w:val="21"/>
          <w:highlight w:val="none"/>
          <w:lang w:val="en-US" w:eastAsia="zh-CN"/>
        </w:rPr>
        <w:t>7</w:t>
      </w:r>
      <w:r>
        <w:rPr>
          <w:rFonts w:hint="default" w:ascii="宋体" w:hAnsi="宋体" w:eastAsia="宋体" w:cs="宋体"/>
          <w:b w:val="0"/>
          <w:bCs w:val="0"/>
          <w:color w:val="auto"/>
          <w:sz w:val="21"/>
          <w:szCs w:val="21"/>
          <w:highlight w:val="none"/>
          <w:lang w:val="en-US" w:eastAsia="zh-CN"/>
        </w:rPr>
        <w:t>座污水提升泵站日常巡查和维护维修，主要包括格栅池残渣清除，泵体、水泵和其他配件维护保养、通风换气、电气系统检查、设备维修、垃圾等废弃物转运和处置、压力管线维修疏通、填写巡检和维修记录等，保证各泵站</w:t>
      </w:r>
      <w:r>
        <w:rPr>
          <w:rFonts w:hint="default" w:ascii="宋体" w:hAnsi="宋体" w:eastAsia="宋体" w:cs="宋体"/>
          <w:b w:val="0"/>
          <w:bCs w:val="0"/>
          <w:color w:val="auto"/>
          <w:sz w:val="21"/>
          <w:szCs w:val="21"/>
          <w:highlight w:val="none"/>
          <w:lang w:val="zh-CN" w:eastAsia="zh-CN"/>
        </w:rPr>
        <w:t>设备</w:t>
      </w:r>
      <w:r>
        <w:rPr>
          <w:rFonts w:hint="default" w:ascii="宋体" w:hAnsi="宋体" w:eastAsia="宋体" w:cs="宋体"/>
          <w:b w:val="0"/>
          <w:bCs w:val="0"/>
          <w:color w:val="auto"/>
          <w:sz w:val="21"/>
          <w:szCs w:val="21"/>
          <w:highlight w:val="none"/>
          <w:lang w:val="en-US" w:eastAsia="zh-CN"/>
        </w:rPr>
        <w:t>稳定运行。</w:t>
      </w:r>
    </w:p>
    <w:p w14:paraId="521F41AC">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表2.1污水提升泵站统计表</w:t>
      </w:r>
    </w:p>
    <w:tbl>
      <w:tblPr>
        <w:tblStyle w:val="4"/>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887"/>
        <w:gridCol w:w="4036"/>
        <w:gridCol w:w="2199"/>
      </w:tblGrid>
      <w:tr w14:paraId="4EB30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5" w:type="dxa"/>
            <w:shd w:val="clear" w:color="auto" w:fill="auto"/>
            <w:noWrap/>
            <w:vAlign w:val="center"/>
          </w:tcPr>
          <w:p w14:paraId="53C57A20">
            <w:pPr>
              <w:autoSpaceDE w:val="0"/>
              <w:autoSpaceDN w:val="0"/>
              <w:adjustRightInd w:val="0"/>
              <w:snapToGrid w:val="0"/>
              <w:spacing w:line="360" w:lineRule="auto"/>
              <w:ind w:left="0" w:leftChars="0" w:firstLine="0" w:firstLineChars="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序号</w:t>
            </w:r>
          </w:p>
        </w:tc>
        <w:tc>
          <w:tcPr>
            <w:tcW w:w="1887" w:type="dxa"/>
            <w:shd w:val="clear" w:color="auto" w:fill="auto"/>
            <w:noWrap/>
            <w:vAlign w:val="center"/>
          </w:tcPr>
          <w:p w14:paraId="38B1A05A">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名称</w:t>
            </w:r>
          </w:p>
        </w:tc>
        <w:tc>
          <w:tcPr>
            <w:tcW w:w="4036" w:type="dxa"/>
            <w:vAlign w:val="center"/>
          </w:tcPr>
          <w:p w14:paraId="686DBA78">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设计规模</w:t>
            </w:r>
          </w:p>
        </w:tc>
        <w:tc>
          <w:tcPr>
            <w:tcW w:w="2199" w:type="dxa"/>
            <w:shd w:val="clear" w:color="auto" w:fill="auto"/>
            <w:noWrap/>
            <w:vAlign w:val="center"/>
          </w:tcPr>
          <w:p w14:paraId="2902CB4E">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数量</w:t>
            </w:r>
          </w:p>
        </w:tc>
      </w:tr>
      <w:tr w14:paraId="2EFE1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815" w:type="dxa"/>
            <w:shd w:val="clear" w:color="auto" w:fill="auto"/>
            <w:noWrap/>
            <w:vAlign w:val="center"/>
          </w:tcPr>
          <w:p w14:paraId="2D971E48">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1</w:t>
            </w:r>
          </w:p>
        </w:tc>
        <w:tc>
          <w:tcPr>
            <w:tcW w:w="1887" w:type="dxa"/>
            <w:shd w:val="clear" w:color="auto" w:fill="auto"/>
            <w:noWrap/>
            <w:vAlign w:val="center"/>
          </w:tcPr>
          <w:p w14:paraId="7FD38EFF">
            <w:pPr>
              <w:autoSpaceDE w:val="0"/>
              <w:autoSpaceDN w:val="0"/>
              <w:adjustRightInd w:val="0"/>
              <w:snapToGrid w:val="0"/>
              <w:spacing w:line="360" w:lineRule="auto"/>
              <w:ind w:left="0" w:leftChars="0" w:firstLine="0" w:firstLineChars="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一体化提升泵站</w:t>
            </w:r>
          </w:p>
        </w:tc>
        <w:tc>
          <w:tcPr>
            <w:tcW w:w="4036" w:type="dxa"/>
            <w:vAlign w:val="center"/>
          </w:tcPr>
          <w:p w14:paraId="4C120EB0">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总规模</w:t>
            </w:r>
            <w:r>
              <w:rPr>
                <w:rFonts w:hint="eastAsia" w:ascii="宋体" w:hAnsi="宋体" w:eastAsia="宋体" w:cs="宋体"/>
                <w:b w:val="0"/>
                <w:bCs w:val="0"/>
                <w:color w:val="auto"/>
                <w:sz w:val="21"/>
                <w:szCs w:val="21"/>
                <w:highlight w:val="none"/>
                <w:lang w:val="en-US" w:eastAsia="zh-CN"/>
              </w:rPr>
              <w:t>196</w:t>
            </w:r>
            <w:r>
              <w:rPr>
                <w:rFonts w:hint="default" w:ascii="宋体" w:hAnsi="宋体" w:eastAsia="宋体" w:cs="宋体"/>
                <w:b w:val="0"/>
                <w:bCs w:val="0"/>
                <w:color w:val="auto"/>
                <w:sz w:val="21"/>
                <w:szCs w:val="21"/>
                <w:highlight w:val="none"/>
                <w:lang w:val="zh-CN" w:eastAsia="zh-CN"/>
              </w:rPr>
              <w:t>m³/h。</w:t>
            </w:r>
          </w:p>
        </w:tc>
        <w:tc>
          <w:tcPr>
            <w:tcW w:w="2199" w:type="dxa"/>
            <w:shd w:val="clear" w:color="auto" w:fill="auto"/>
            <w:noWrap/>
            <w:vAlign w:val="center"/>
          </w:tcPr>
          <w:p w14:paraId="2598093E">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en-US" w:eastAsia="zh-CN"/>
              </w:rPr>
              <w:t>7</w:t>
            </w:r>
            <w:r>
              <w:rPr>
                <w:rFonts w:hint="default" w:ascii="宋体" w:hAnsi="宋体" w:eastAsia="宋体" w:cs="宋体"/>
                <w:b w:val="0"/>
                <w:bCs w:val="0"/>
                <w:color w:val="auto"/>
                <w:sz w:val="21"/>
                <w:szCs w:val="21"/>
                <w:highlight w:val="none"/>
                <w:lang w:val="zh-CN" w:eastAsia="zh-CN"/>
              </w:rPr>
              <w:t>座</w:t>
            </w:r>
          </w:p>
        </w:tc>
      </w:tr>
    </w:tbl>
    <w:p w14:paraId="56D62B33">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2.2污水收集管网运维要求。负责重力流污水收水管网日常巡查和维护维修，主要包括污水收集管网日常巡检、疏通、管道破损维修、其他安全设施检查等，保证污水收集管网畅通，无堵塞、漏水现象。</w:t>
      </w:r>
    </w:p>
    <w:p w14:paraId="3531E819">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2.3其他附属配套设施运维要求。负责检查井井盖、隔油井井盖、防坠网等易损件维修更换，因管道问题造成的管道附近路面塌陷维修及其他其他附属配套设施维护维修，保证井盖及管道附近路面平整、稳固、其他附属设施正常运行；定期清理调蓄池内淤泥，保证调蓄池通畅蓄水，具备调蓄能力。</w:t>
      </w:r>
    </w:p>
    <w:p w14:paraId="7EA62B35">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表2.2 收水管网统及其他附属设施统计表</w:t>
      </w:r>
    </w:p>
    <w:tbl>
      <w:tblPr>
        <w:tblStyle w:val="4"/>
        <w:tblW w:w="8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866"/>
        <w:gridCol w:w="3991"/>
        <w:gridCol w:w="2174"/>
      </w:tblGrid>
      <w:tr w14:paraId="5442C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trPr>
        <w:tc>
          <w:tcPr>
            <w:tcW w:w="807" w:type="dxa"/>
            <w:shd w:val="clear" w:color="auto" w:fill="auto"/>
            <w:noWrap/>
            <w:vAlign w:val="center"/>
          </w:tcPr>
          <w:p w14:paraId="5EA38AD0">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序号</w:t>
            </w:r>
          </w:p>
        </w:tc>
        <w:tc>
          <w:tcPr>
            <w:tcW w:w="1866" w:type="dxa"/>
            <w:shd w:val="clear" w:color="auto" w:fill="auto"/>
            <w:noWrap/>
            <w:vAlign w:val="center"/>
          </w:tcPr>
          <w:p w14:paraId="04968D90">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名称</w:t>
            </w:r>
          </w:p>
        </w:tc>
        <w:tc>
          <w:tcPr>
            <w:tcW w:w="3991" w:type="dxa"/>
            <w:vAlign w:val="center"/>
          </w:tcPr>
          <w:p w14:paraId="4C8F8E0B">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设计规模</w:t>
            </w:r>
          </w:p>
        </w:tc>
        <w:tc>
          <w:tcPr>
            <w:tcW w:w="2174" w:type="dxa"/>
            <w:shd w:val="clear" w:color="auto" w:fill="auto"/>
            <w:noWrap/>
            <w:vAlign w:val="center"/>
          </w:tcPr>
          <w:p w14:paraId="11DBA540">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数量</w:t>
            </w:r>
          </w:p>
        </w:tc>
      </w:tr>
      <w:tr w14:paraId="2D140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807" w:type="dxa"/>
            <w:shd w:val="clear" w:color="auto" w:fill="auto"/>
            <w:noWrap/>
            <w:vAlign w:val="center"/>
          </w:tcPr>
          <w:p w14:paraId="75EE8A4C">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en-US" w:eastAsia="zh-CN"/>
              </w:rPr>
              <w:t>1</w:t>
            </w:r>
          </w:p>
        </w:tc>
        <w:tc>
          <w:tcPr>
            <w:tcW w:w="1866" w:type="dxa"/>
            <w:shd w:val="clear" w:color="auto" w:fill="auto"/>
            <w:vAlign w:val="center"/>
          </w:tcPr>
          <w:p w14:paraId="409872D8">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收水管网</w:t>
            </w:r>
          </w:p>
        </w:tc>
        <w:tc>
          <w:tcPr>
            <w:tcW w:w="3991" w:type="dxa"/>
            <w:vAlign w:val="center"/>
          </w:tcPr>
          <w:p w14:paraId="4529B564">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管径DN1000、DN500、DN300、DN200</w:t>
            </w:r>
          </w:p>
        </w:tc>
        <w:tc>
          <w:tcPr>
            <w:tcW w:w="2174" w:type="dxa"/>
            <w:shd w:val="clear" w:color="auto" w:fill="auto"/>
            <w:noWrap/>
            <w:vAlign w:val="center"/>
          </w:tcPr>
          <w:p w14:paraId="3DE32678">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eastAsia" w:ascii="宋体" w:hAnsi="宋体" w:eastAsia="宋体" w:cs="宋体"/>
                <w:b w:val="0"/>
                <w:bCs w:val="0"/>
                <w:color w:val="auto"/>
                <w:sz w:val="21"/>
                <w:szCs w:val="21"/>
                <w:highlight w:val="none"/>
                <w:lang w:val="en-US" w:eastAsia="zh-CN"/>
              </w:rPr>
              <w:t>83.95</w:t>
            </w:r>
            <w:r>
              <w:rPr>
                <w:rFonts w:hint="default" w:ascii="宋体" w:hAnsi="宋体" w:eastAsia="宋体" w:cs="宋体"/>
                <w:b w:val="0"/>
                <w:bCs w:val="0"/>
                <w:color w:val="auto"/>
                <w:sz w:val="21"/>
                <w:szCs w:val="21"/>
                <w:highlight w:val="none"/>
                <w:lang w:val="zh-CN" w:eastAsia="zh-CN"/>
              </w:rPr>
              <w:t>公里</w:t>
            </w:r>
          </w:p>
        </w:tc>
      </w:tr>
      <w:tr w14:paraId="2A2E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807" w:type="dxa"/>
            <w:shd w:val="clear" w:color="auto" w:fill="auto"/>
            <w:noWrap/>
            <w:vAlign w:val="center"/>
          </w:tcPr>
          <w:p w14:paraId="20C42026">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w:t>
            </w:r>
          </w:p>
        </w:tc>
        <w:tc>
          <w:tcPr>
            <w:tcW w:w="1866" w:type="dxa"/>
            <w:shd w:val="clear" w:color="auto" w:fill="auto"/>
            <w:vAlign w:val="center"/>
          </w:tcPr>
          <w:p w14:paraId="751ABC45">
            <w:pPr>
              <w:autoSpaceDE w:val="0"/>
              <w:autoSpaceDN w:val="0"/>
              <w:adjustRightInd w:val="0"/>
              <w:snapToGrid w:val="0"/>
              <w:spacing w:line="360" w:lineRule="auto"/>
              <w:ind w:left="0" w:leftChars="0" w:firstLine="210" w:firstLineChars="1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其他附属设施</w:t>
            </w:r>
          </w:p>
        </w:tc>
        <w:tc>
          <w:tcPr>
            <w:tcW w:w="3991" w:type="dxa"/>
            <w:vAlign w:val="center"/>
          </w:tcPr>
          <w:p w14:paraId="6FBFEF4B">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zh-CN" w:eastAsia="zh-CN"/>
              </w:rPr>
            </w:pPr>
            <w:r>
              <w:rPr>
                <w:rFonts w:hint="default" w:ascii="宋体" w:hAnsi="宋体" w:eastAsia="宋体" w:cs="宋体"/>
                <w:b w:val="0"/>
                <w:bCs w:val="0"/>
                <w:color w:val="auto"/>
                <w:sz w:val="21"/>
                <w:szCs w:val="21"/>
                <w:highlight w:val="none"/>
                <w:lang w:val="zh-CN" w:eastAsia="zh-CN"/>
              </w:rPr>
              <w:t>检查井、隔油井等</w:t>
            </w:r>
          </w:p>
        </w:tc>
        <w:tc>
          <w:tcPr>
            <w:tcW w:w="2174" w:type="dxa"/>
            <w:shd w:val="clear" w:color="auto" w:fill="auto"/>
            <w:noWrap/>
            <w:vAlign w:val="center"/>
          </w:tcPr>
          <w:p w14:paraId="68D027CE">
            <w:pPr>
              <w:autoSpaceDE w:val="0"/>
              <w:autoSpaceDN w:val="0"/>
              <w:adjustRightInd w:val="0"/>
              <w:snapToGrid w:val="0"/>
              <w:spacing w:line="360" w:lineRule="auto"/>
              <w:ind w:firstLine="420" w:firstLineChars="200"/>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4197</w:t>
            </w:r>
            <w:r>
              <w:rPr>
                <w:rFonts w:hint="default" w:ascii="宋体" w:hAnsi="宋体" w:eastAsia="宋体" w:cs="宋体"/>
                <w:b w:val="0"/>
                <w:bCs w:val="0"/>
                <w:color w:val="auto"/>
                <w:sz w:val="21"/>
                <w:szCs w:val="21"/>
                <w:highlight w:val="none"/>
                <w:lang w:val="en-US" w:eastAsia="zh-CN"/>
              </w:rPr>
              <w:t>个</w:t>
            </w:r>
          </w:p>
        </w:tc>
      </w:tr>
    </w:tbl>
    <w:p w14:paraId="1AA270E8">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cs="宋体"/>
          <w:b/>
          <w:bCs/>
          <w:color w:val="auto"/>
          <w:sz w:val="21"/>
          <w:szCs w:val="21"/>
          <w:highlight w:val="none"/>
          <w:lang w:val="en-US" w:eastAsia="zh-CN"/>
        </w:rPr>
        <w:t>五</w:t>
      </w:r>
      <w:r>
        <w:rPr>
          <w:rFonts w:hint="eastAsia" w:ascii="宋体" w:hAnsi="宋体" w:eastAsia="宋体" w:cs="宋体"/>
          <w:b/>
          <w:bCs/>
          <w:color w:val="auto"/>
          <w:sz w:val="21"/>
          <w:szCs w:val="21"/>
          <w:highlight w:val="none"/>
          <w:lang w:val="zh-CN"/>
        </w:rPr>
        <w:t>、</w:t>
      </w:r>
      <w:r>
        <w:rPr>
          <w:rFonts w:hint="eastAsia" w:ascii="宋体" w:hAnsi="宋体" w:eastAsia="宋体" w:cs="宋体"/>
          <w:b/>
          <w:bCs/>
          <w:color w:val="auto"/>
          <w:sz w:val="21"/>
          <w:szCs w:val="21"/>
          <w:highlight w:val="none"/>
        </w:rPr>
        <w:t>双方职责</w:t>
      </w:r>
    </w:p>
    <w:p w14:paraId="70B9BB2E">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甲方：</w:t>
      </w:r>
      <w:r>
        <w:rPr>
          <w:rFonts w:hint="eastAsia" w:ascii="宋体" w:hAnsi="宋体" w:eastAsia="宋体" w:cs="宋体"/>
          <w:b/>
          <w:bCs/>
          <w:color w:val="auto"/>
          <w:sz w:val="21"/>
          <w:szCs w:val="21"/>
          <w:highlight w:val="none"/>
          <w:u w:val="single"/>
        </w:rPr>
        <w:t xml:space="preserve">                                         </w:t>
      </w:r>
    </w:p>
    <w:p w14:paraId="1C1BAB9F">
      <w:pPr>
        <w:autoSpaceDE w:val="0"/>
        <w:autoSpaceDN w:val="0"/>
        <w:adjustRightInd w:val="0"/>
        <w:snapToGrid w:val="0"/>
        <w:spacing w:line="360" w:lineRule="auto"/>
        <w:ind w:firstLine="420" w:firstLineChars="2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rPr>
        <w:t>乙方：</w:t>
      </w:r>
      <w:r>
        <w:rPr>
          <w:rFonts w:hint="eastAsia" w:ascii="宋体" w:hAnsi="宋体" w:eastAsia="宋体" w:cs="宋体"/>
          <w:b/>
          <w:bCs/>
          <w:color w:val="auto"/>
          <w:sz w:val="21"/>
          <w:szCs w:val="21"/>
          <w:highlight w:val="none"/>
          <w:u w:val="single"/>
        </w:rPr>
        <w:t xml:space="preserve">                                         </w:t>
      </w:r>
    </w:p>
    <w:p w14:paraId="1D35A4EF">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rPr>
        <w:t>六</w:t>
      </w:r>
      <w:r>
        <w:rPr>
          <w:rFonts w:hint="eastAsia" w:ascii="宋体" w:hAnsi="宋体" w:eastAsia="宋体" w:cs="宋体"/>
          <w:b/>
          <w:bCs/>
          <w:color w:val="auto"/>
          <w:sz w:val="21"/>
          <w:szCs w:val="21"/>
          <w:highlight w:val="none"/>
          <w:lang w:val="zh-CN"/>
        </w:rPr>
        <w:t>、验收</w:t>
      </w:r>
    </w:p>
    <w:p w14:paraId="66FD2542">
      <w:pPr>
        <w:autoSpaceDE w:val="0"/>
        <w:autoSpaceDN w:val="0"/>
        <w:adjustRightInd w:val="0"/>
        <w:snapToGrid w:val="0"/>
        <w:spacing w:line="360" w:lineRule="auto"/>
        <w:ind w:firstLine="422" w:firstLineChars="200"/>
        <w:rPr>
          <w:rFonts w:hint="eastAsia" w:ascii="宋体" w:hAnsi="宋体" w:eastAsia="宋体" w:cs="宋体"/>
          <w:b w:val="0"/>
          <w:bCs w:val="0"/>
          <w:color w:val="auto"/>
          <w:sz w:val="21"/>
          <w:szCs w:val="21"/>
          <w:highlight w:val="none"/>
          <w:lang w:val="zh-CN"/>
        </w:rPr>
      </w:pP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single"/>
        </w:rPr>
        <w:t xml:space="preserve">            </w:t>
      </w:r>
    </w:p>
    <w:p w14:paraId="7A662C42">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cs="宋体"/>
          <w:b/>
          <w:bCs/>
          <w:color w:val="auto"/>
          <w:sz w:val="21"/>
          <w:szCs w:val="21"/>
          <w:highlight w:val="none"/>
          <w:lang w:val="en-US" w:eastAsia="zh-CN"/>
        </w:rPr>
        <w:t>七</w:t>
      </w:r>
      <w:r>
        <w:rPr>
          <w:rFonts w:hint="eastAsia" w:ascii="宋体" w:hAnsi="宋体" w:eastAsia="宋体" w:cs="宋体"/>
          <w:b/>
          <w:bCs/>
          <w:color w:val="auto"/>
          <w:sz w:val="21"/>
          <w:szCs w:val="21"/>
          <w:highlight w:val="none"/>
          <w:lang w:val="zh-CN"/>
        </w:rPr>
        <w:t>、违约责任</w:t>
      </w:r>
    </w:p>
    <w:p w14:paraId="766F1B9F">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1、按《中华人民共和国民法典》中的相关条款执行。</w:t>
      </w:r>
    </w:p>
    <w:p w14:paraId="304699E0">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2、乙方履约延误</w:t>
      </w:r>
    </w:p>
    <w:p w14:paraId="54521F66">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2-1、如乙方事先未征得甲方同意并得到甲方的谅解而单方</w:t>
      </w:r>
      <w:r>
        <w:rPr>
          <w:rFonts w:hint="eastAsia" w:ascii="宋体" w:hAnsi="宋体" w:eastAsia="宋体" w:cs="宋体"/>
          <w:color w:val="auto"/>
          <w:sz w:val="21"/>
          <w:szCs w:val="21"/>
          <w:highlight w:val="none"/>
        </w:rPr>
        <w:t>未在规定</w:t>
      </w:r>
      <w:r>
        <w:rPr>
          <w:rFonts w:hint="eastAsia" w:ascii="宋体" w:hAnsi="宋体" w:cs="宋体"/>
          <w:color w:val="auto"/>
          <w:sz w:val="21"/>
          <w:szCs w:val="21"/>
          <w:highlight w:val="none"/>
          <w:lang w:eastAsia="zh-CN"/>
        </w:rPr>
        <w:t>服务期限</w:t>
      </w:r>
      <w:r>
        <w:rPr>
          <w:rFonts w:hint="eastAsia" w:ascii="宋体" w:hAnsi="宋体" w:eastAsia="宋体" w:cs="宋体"/>
          <w:color w:val="auto"/>
          <w:sz w:val="21"/>
          <w:szCs w:val="21"/>
          <w:highlight w:val="none"/>
        </w:rPr>
        <w:t>内</w:t>
      </w:r>
      <w:r>
        <w:rPr>
          <w:rFonts w:hint="eastAsia" w:ascii="宋体" w:hAnsi="宋体" w:eastAsia="宋体" w:cs="宋体"/>
          <w:color w:val="auto"/>
          <w:sz w:val="21"/>
          <w:szCs w:val="21"/>
          <w:highlight w:val="none"/>
          <w:lang w:val="en-US" w:eastAsia="zh-CN"/>
        </w:rPr>
        <w:t>完成服务</w:t>
      </w:r>
      <w:r>
        <w:rPr>
          <w:rFonts w:hint="eastAsia" w:ascii="宋体" w:hAnsi="宋体" w:eastAsia="宋体" w:cs="宋体"/>
          <w:color w:val="auto"/>
          <w:sz w:val="21"/>
          <w:szCs w:val="21"/>
          <w:highlight w:val="none"/>
          <w:lang w:val="zh-CN"/>
        </w:rPr>
        <w:t>，将按违约终止合同。</w:t>
      </w:r>
    </w:p>
    <w:p w14:paraId="47889500">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2-2、在履行合同过程中，如果乙方遇到可能妨碍按时</w:t>
      </w:r>
      <w:r>
        <w:rPr>
          <w:rFonts w:hint="eastAsia" w:ascii="宋体" w:hAnsi="宋体" w:eastAsia="宋体" w:cs="宋体"/>
          <w:color w:val="auto"/>
          <w:sz w:val="21"/>
          <w:szCs w:val="21"/>
          <w:highlight w:val="none"/>
          <w:lang w:val="en-US" w:eastAsia="zh-CN"/>
        </w:rPr>
        <w:t>完成服务</w:t>
      </w:r>
      <w:r>
        <w:rPr>
          <w:rFonts w:hint="eastAsia" w:ascii="宋体" w:hAnsi="宋体" w:eastAsia="宋体" w:cs="宋体"/>
          <w:color w:val="auto"/>
          <w:sz w:val="21"/>
          <w:szCs w:val="21"/>
          <w:highlight w:val="none"/>
          <w:lang w:val="zh-CN"/>
        </w:rPr>
        <w:t>的情况，应及时以书面形式将拖延的事实，可能拖延的期限和理由通知甲方。甲方在收到乙方通知后，应尽快对情况进行评价，并确定是否通过修改合同，酌情延长时间或对乙方加收误期赔偿金。每延误一周</w:t>
      </w:r>
      <w:r>
        <w:rPr>
          <w:rFonts w:hint="eastAsia" w:ascii="宋体" w:hAnsi="宋体" w:eastAsia="宋体" w:cs="宋体"/>
          <w:color w:val="auto"/>
          <w:sz w:val="21"/>
          <w:szCs w:val="21"/>
          <w:highlight w:val="none"/>
        </w:rPr>
        <w:t>按</w:t>
      </w:r>
      <w:r>
        <w:rPr>
          <w:rFonts w:hint="eastAsia" w:ascii="宋体" w:hAnsi="宋体" w:eastAsia="宋体" w:cs="宋体"/>
          <w:color w:val="auto"/>
          <w:sz w:val="21"/>
          <w:szCs w:val="21"/>
          <w:highlight w:val="none"/>
          <w:lang w:val="zh-CN"/>
        </w:rPr>
        <w:t>服务费用的</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计收，直至提供</w:t>
      </w:r>
      <w:r>
        <w:rPr>
          <w:rFonts w:hint="eastAsia" w:ascii="宋体" w:hAnsi="宋体" w:eastAsia="宋体" w:cs="宋体"/>
          <w:color w:val="auto"/>
          <w:sz w:val="21"/>
          <w:szCs w:val="21"/>
          <w:highlight w:val="none"/>
          <w:lang w:val="en-US" w:eastAsia="zh-CN"/>
        </w:rPr>
        <w:t>完整服务</w:t>
      </w:r>
      <w:r>
        <w:rPr>
          <w:rFonts w:hint="eastAsia" w:ascii="宋体" w:hAnsi="宋体" w:eastAsia="宋体" w:cs="宋体"/>
          <w:color w:val="auto"/>
          <w:sz w:val="21"/>
          <w:szCs w:val="21"/>
          <w:highlight w:val="none"/>
          <w:lang w:val="zh-CN"/>
        </w:rPr>
        <w:t>为止。误期赔偿费的最高限额为合同价格的</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。一旦达到误期赔偿费的最高限额，甲方可终止合同。</w:t>
      </w:r>
    </w:p>
    <w:p w14:paraId="0B8D4CA5">
      <w:pPr>
        <w:autoSpaceDE w:val="0"/>
        <w:autoSpaceDN w:val="0"/>
        <w:adjustRightInd w:val="0"/>
        <w:snapToGrid w:val="0"/>
        <w:spacing w:line="360" w:lineRule="auto"/>
        <w:ind w:firstLine="420" w:firstLineChars="200"/>
        <w:rPr>
          <w:rFonts w:hint="eastAsia" w:ascii="宋体" w:hAnsi="宋体" w:eastAsia="宋体" w:cs="宋体"/>
          <w:b/>
          <w:bCs/>
          <w:color w:val="auto"/>
          <w:sz w:val="21"/>
          <w:szCs w:val="21"/>
          <w:highlight w:val="none"/>
          <w:lang w:val="zh-CN"/>
        </w:rPr>
      </w:pPr>
      <w:r>
        <w:rPr>
          <w:rFonts w:hint="eastAsia" w:ascii="宋体" w:hAnsi="宋体" w:eastAsia="宋体" w:cs="宋体"/>
          <w:color w:val="auto"/>
          <w:sz w:val="21"/>
          <w:szCs w:val="21"/>
          <w:highlight w:val="none"/>
          <w:lang w:val="zh-CN"/>
        </w:rPr>
        <w:t>3、违约终止合同：</w:t>
      </w:r>
      <w:r>
        <w:rPr>
          <w:rFonts w:hint="eastAsia" w:ascii="宋体" w:hAnsi="宋体" w:eastAsia="宋体" w:cs="宋体"/>
          <w:b/>
          <w:bCs/>
          <w:color w:val="auto"/>
          <w:sz w:val="21"/>
          <w:szCs w:val="21"/>
          <w:highlight w:val="none"/>
          <w:u w:val="single"/>
        </w:rPr>
        <w:t xml:space="preserve">                                         </w:t>
      </w:r>
      <w:r>
        <w:rPr>
          <w:rFonts w:hint="eastAsia" w:ascii="宋体" w:hAnsi="宋体" w:eastAsia="宋体" w:cs="宋体"/>
          <w:color w:val="auto"/>
          <w:sz w:val="21"/>
          <w:szCs w:val="21"/>
          <w:highlight w:val="none"/>
          <w:lang w:val="zh-CN"/>
        </w:rPr>
        <w:t>。</w:t>
      </w:r>
    </w:p>
    <w:p w14:paraId="74CC860F">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cs="宋体"/>
          <w:b/>
          <w:bCs/>
          <w:color w:val="auto"/>
          <w:sz w:val="21"/>
          <w:szCs w:val="21"/>
          <w:highlight w:val="none"/>
          <w:lang w:val="en-US" w:eastAsia="zh-CN"/>
        </w:rPr>
        <w:t>八</w:t>
      </w:r>
      <w:r>
        <w:rPr>
          <w:rFonts w:hint="eastAsia" w:ascii="宋体" w:hAnsi="宋体" w:eastAsia="宋体" w:cs="宋体"/>
          <w:b/>
          <w:bCs/>
          <w:color w:val="auto"/>
          <w:sz w:val="21"/>
          <w:szCs w:val="21"/>
          <w:highlight w:val="none"/>
          <w:lang w:val="zh-CN"/>
        </w:rPr>
        <w:t>、合同组成</w:t>
      </w:r>
    </w:p>
    <w:p w14:paraId="5D3BB077">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1、</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val="zh-CN"/>
        </w:rPr>
        <w:t>通知书</w:t>
      </w:r>
    </w:p>
    <w:p w14:paraId="30ED36F0">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2、合同文件</w:t>
      </w:r>
    </w:p>
    <w:p w14:paraId="04AF1955">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3、国家相关规范及标准</w:t>
      </w:r>
    </w:p>
    <w:p w14:paraId="65800091">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竞争性磋商文件</w:t>
      </w:r>
    </w:p>
    <w:p w14:paraId="6328680B">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zh-CN"/>
        </w:rPr>
        <w:t>、</w:t>
      </w:r>
      <w:r>
        <w:rPr>
          <w:rFonts w:hint="eastAsia" w:ascii="宋体" w:hAnsi="宋体" w:eastAsia="宋体" w:cs="宋体"/>
          <w:color w:val="auto"/>
          <w:sz w:val="21"/>
          <w:szCs w:val="21"/>
          <w:highlight w:val="none"/>
          <w:lang w:val="en-US" w:eastAsia="zh-CN"/>
        </w:rPr>
        <w:t>竞争性磋商响应文件</w:t>
      </w:r>
    </w:p>
    <w:p w14:paraId="56670C56">
      <w:pPr>
        <w:autoSpaceDE w:val="0"/>
        <w:autoSpaceDN w:val="0"/>
        <w:adjustRightInd w:val="0"/>
        <w:snapToGrid w:val="0"/>
        <w:spacing w:line="360" w:lineRule="auto"/>
        <w:ind w:firstLine="422" w:firstLineChars="200"/>
        <w:rPr>
          <w:rFonts w:hint="eastAsia" w:ascii="宋体" w:hAnsi="宋体" w:eastAsia="宋体" w:cs="宋体"/>
          <w:b/>
          <w:bCs/>
          <w:color w:val="auto"/>
          <w:sz w:val="21"/>
          <w:szCs w:val="21"/>
          <w:highlight w:val="none"/>
          <w:lang w:val="zh-CN"/>
        </w:rPr>
      </w:pPr>
      <w:r>
        <w:rPr>
          <w:rFonts w:hint="eastAsia" w:ascii="宋体" w:hAnsi="宋体" w:cs="宋体"/>
          <w:b/>
          <w:bCs/>
          <w:color w:val="auto"/>
          <w:sz w:val="21"/>
          <w:szCs w:val="21"/>
          <w:highlight w:val="none"/>
          <w:lang w:val="en-US" w:eastAsia="zh-CN"/>
        </w:rPr>
        <w:t>九</w:t>
      </w:r>
      <w:r>
        <w:rPr>
          <w:rFonts w:hint="eastAsia" w:ascii="宋体" w:hAnsi="宋体" w:eastAsia="宋体" w:cs="宋体"/>
          <w:b/>
          <w:bCs/>
          <w:color w:val="auto"/>
          <w:sz w:val="21"/>
          <w:szCs w:val="21"/>
          <w:highlight w:val="none"/>
          <w:lang w:val="zh-CN"/>
        </w:rPr>
        <w:t>、合同生效及其它</w:t>
      </w:r>
    </w:p>
    <w:p w14:paraId="5DB6CC78">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1、合同未尽事宜、由甲、乙双方协商，作为合同补充，与原合同具有同等法律效力。</w:t>
      </w:r>
    </w:p>
    <w:p w14:paraId="2D092790">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2、 本合同正本一式</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份，甲方、乙方双方分别执</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份，备案</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份。</w:t>
      </w:r>
    </w:p>
    <w:p w14:paraId="4DE044EC">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3、合同经甲乙双方盖章、签字后生效，合同签订地点为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w:t>
      </w:r>
    </w:p>
    <w:p w14:paraId="1195A69F">
      <w:pPr>
        <w:autoSpaceDE w:val="0"/>
        <w:autoSpaceDN w:val="0"/>
        <w:adjustRightInd w:val="0"/>
        <w:snapToGrid w:val="0"/>
        <w:spacing w:line="360" w:lineRule="auto"/>
        <w:ind w:firstLine="420" w:firstLineChars="2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4、生效时间：</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年</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月</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lang w:val="zh-CN"/>
        </w:rPr>
        <w:t>日</w:t>
      </w:r>
    </w:p>
    <w:bookmarkEnd w:id="1"/>
    <w:p w14:paraId="4DA650C9">
      <w:pPr>
        <w:spacing w:line="360" w:lineRule="auto"/>
        <w:ind w:firstLine="360" w:firstLineChars="150"/>
        <w:outlineLvl w:val="9"/>
        <w:rPr>
          <w:rFonts w:hint="eastAsia" w:ascii="宋体" w:hAnsi="宋体" w:eastAsia="宋体" w:cs="宋体"/>
          <w:color w:val="auto"/>
          <w:sz w:val="24"/>
          <w:szCs w:val="24"/>
          <w:highlight w:val="none"/>
        </w:rPr>
      </w:pPr>
    </w:p>
    <w:p w14:paraId="50131689">
      <w:pPr>
        <w:spacing w:line="360" w:lineRule="auto"/>
        <w:ind w:firstLine="360" w:firstLineChars="150"/>
        <w:outlineLvl w:val="9"/>
        <w:rPr>
          <w:rFonts w:hint="eastAsia" w:ascii="宋体" w:hAnsi="宋体" w:eastAsia="宋体" w:cs="宋体"/>
          <w:color w:val="auto"/>
          <w:sz w:val="24"/>
          <w:szCs w:val="24"/>
          <w:highlight w:val="none"/>
        </w:rPr>
      </w:pPr>
    </w:p>
    <w:p w14:paraId="77F9C8F3">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甲方：(公章）　　　　　　　　　　　　</w:t>
      </w:r>
      <w:r>
        <w:rPr>
          <w:rFonts w:hint="eastAsia" w:ascii="宋体" w:hAnsi="宋体" w:eastAsia="宋体" w:cs="宋体"/>
          <w:b w:val="0"/>
          <w:bCs w:val="0"/>
          <w:color w:val="auto"/>
          <w:sz w:val="21"/>
          <w:szCs w:val="21"/>
          <w:highlight w:val="none"/>
          <w:lang w:val="en-US" w:eastAsia="zh-CN"/>
        </w:rPr>
        <w:t xml:space="preserve"> </w:t>
      </w:r>
      <w:r>
        <w:rPr>
          <w:rFonts w:hint="eastAsia" w:ascii="宋体" w:hAnsi="宋体" w:eastAsia="宋体" w:cs="宋体"/>
          <w:b w:val="0"/>
          <w:bCs w:val="0"/>
          <w:color w:val="auto"/>
          <w:sz w:val="21"/>
          <w:szCs w:val="21"/>
          <w:highlight w:val="none"/>
          <w:lang w:val="zh-CN"/>
        </w:rPr>
        <w:t>乙方：（公章）</w:t>
      </w:r>
    </w:p>
    <w:p w14:paraId="6FFAA10C">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法定代表人：　　　　　　　　　　　　　法定代表人：</w:t>
      </w:r>
    </w:p>
    <w:p w14:paraId="3440B9F2">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委托代理人：　　　　　　　　　　　　　委托代理人：</w:t>
      </w:r>
    </w:p>
    <w:p w14:paraId="3D26E2BB">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电话：　　　　　　　　　　　　　　　　电话：</w:t>
      </w:r>
    </w:p>
    <w:p w14:paraId="26D2DD7A">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传真：　　　　　　　　　　　　　　　　传真：</w:t>
      </w:r>
    </w:p>
    <w:p w14:paraId="38E1187D">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开户银行：　　　　　　　　　　　　　　开户银行：</w:t>
      </w:r>
    </w:p>
    <w:p w14:paraId="16184321">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账号：　　　　　　　　　　　　　　　　账号：</w:t>
      </w:r>
    </w:p>
    <w:p w14:paraId="4A44FDE6">
      <w:pPr>
        <w:keepNext w:val="0"/>
        <w:keepLines w:val="0"/>
        <w:pageBreakBefore w:val="0"/>
        <w:widowControl/>
        <w:tabs>
          <w:tab w:val="left" w:pos="8391"/>
        </w:tabs>
        <w:kinsoku/>
        <w:wordWrap/>
        <w:overflowPunct/>
        <w:topLinePunct w:val="0"/>
        <w:autoSpaceDE w:val="0"/>
        <w:autoSpaceDN w:val="0"/>
        <w:bidi w:val="0"/>
        <w:adjustRightInd/>
        <w:snapToGrid w:val="0"/>
        <w:spacing w:line="500" w:lineRule="exact"/>
        <w:ind w:right="-68" w:firstLine="420" w:firstLineChars="200"/>
        <w:textAlignment w:val="bottom"/>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邮政编码：　　　　　　　　　　　　　　邮政编码：</w:t>
      </w:r>
    </w:p>
    <w:p w14:paraId="6FB29BF6">
      <w:pPr>
        <w:rPr>
          <w:color w:val="auto"/>
          <w:sz w:val="21"/>
          <w:szCs w:val="21"/>
          <w:highlight w:val="none"/>
        </w:rPr>
      </w:pPr>
    </w:p>
    <w:p w14:paraId="474602EB">
      <w:pPr>
        <w:pStyle w:val="6"/>
        <w:rPr>
          <w:rFonts w:hint="default" w:ascii="宋体" w:hAnsi="宋体" w:eastAsia="宋体" w:cs="宋体"/>
          <w:color w:val="auto"/>
          <w:sz w:val="21"/>
          <w:szCs w:val="21"/>
          <w:highlight w:val="none"/>
        </w:rPr>
      </w:pPr>
      <w:r>
        <w:rPr>
          <w:rFonts w:ascii="宋体" w:hAnsi="宋体" w:eastAsia="宋体" w:cs="宋体"/>
          <w:color w:val="auto"/>
          <w:sz w:val="21"/>
          <w:szCs w:val="21"/>
          <w:highlight w:val="none"/>
        </w:rPr>
        <w:t xml:space="preserve"> </w:t>
      </w:r>
      <w:r>
        <w:rPr>
          <w:rFonts w:ascii="宋体" w:hAnsi="宋体" w:eastAsia="宋体" w:cs="宋体"/>
          <w:b/>
          <w:bCs/>
          <w:color w:val="auto"/>
          <w:sz w:val="21"/>
          <w:szCs w:val="21"/>
          <w:highlight w:val="none"/>
        </w:rPr>
        <w:t>注：本合同</w:t>
      </w:r>
      <w:r>
        <w:rPr>
          <w:rFonts w:ascii="宋体" w:hAnsi="宋体" w:eastAsia="宋体" w:cs="宋体"/>
          <w:b/>
          <w:bCs/>
          <w:color w:val="auto"/>
          <w:sz w:val="21"/>
          <w:szCs w:val="21"/>
          <w:highlight w:val="none"/>
          <w:lang w:eastAsia="zh-CN"/>
        </w:rPr>
        <w:t>格式</w:t>
      </w:r>
      <w:r>
        <w:rPr>
          <w:rFonts w:ascii="宋体" w:hAnsi="宋体" w:eastAsia="宋体" w:cs="宋体"/>
          <w:b/>
          <w:bCs/>
          <w:color w:val="auto"/>
          <w:sz w:val="21"/>
          <w:szCs w:val="21"/>
          <w:highlight w:val="none"/>
        </w:rPr>
        <w:t>仅供参考，具体内容由甲乙双方协商而定。</w:t>
      </w:r>
    </w:p>
    <w:p w14:paraId="1F53C57D">
      <w:pPr>
        <w:rPr>
          <w:highlight w:val="none"/>
        </w:rPr>
      </w:pPr>
    </w:p>
    <w:sectPr>
      <w:pgSz w:w="11900" w:h="16838"/>
      <w:pgMar w:top="1066" w:right="1191" w:bottom="1066" w:left="1174" w:header="0" w:footer="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 w:name="KSO_WPS_MARK_KEY" w:val="185643ab-97ef-4d1c-a033-caa341fa603d"/>
  </w:docVars>
  <w:rsids>
    <w:rsidRoot w:val="00000000"/>
    <w:rsid w:val="00A21BBA"/>
    <w:rsid w:val="17947D95"/>
    <w:rsid w:val="195E438D"/>
    <w:rsid w:val="1C4659CA"/>
    <w:rsid w:val="24B179D4"/>
    <w:rsid w:val="30670E93"/>
    <w:rsid w:val="45C6453A"/>
    <w:rsid w:val="6A852DB8"/>
    <w:rsid w:val="6B417931"/>
    <w:rsid w:val="711B0F3D"/>
    <w:rsid w:val="72812FE9"/>
    <w:rsid w:val="7F791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420" w:firstLineChars="200"/>
    </w:pPr>
    <w:rPr>
      <w:rFonts w:ascii="宋体" w:hAnsi="宋体" w:eastAsia="宋体" w:cs="宋体"/>
      <w:color w:val="00B050"/>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108"/>
    </w:pPr>
    <w:rPr>
      <w:rFonts w:ascii="仿宋" w:hAnsi="仿宋" w:eastAsia="仿宋" w:cs="仿宋"/>
      <w:kern w:val="0"/>
      <w:sz w:val="32"/>
      <w:szCs w:val="32"/>
      <w:lang w:val="zh-CN" w:bidi="zh-CN"/>
    </w:rPr>
  </w:style>
  <w:style w:type="paragraph" w:styleId="3">
    <w:name w:val="footer"/>
    <w:basedOn w:val="1"/>
    <w:next w:val="1"/>
    <w:unhideWhenUsed/>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1797</Words>
  <Characters>1870</Characters>
  <Lines>0</Lines>
  <Paragraphs>0</Paragraphs>
  <TotalTime>0</TotalTime>
  <ScaleCrop>false</ScaleCrop>
  <LinksUpToDate>false</LinksUpToDate>
  <CharactersWithSpaces>2435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2024-10-11T10:00:00Z</dcterms:created>
  <dc:creator>Administrator</dc:creator>
  <cp:lastModifiedBy>偶呦一.一</cp:lastModifiedBy>
  <dcterms:modified xsi:type="dcterms:W3CDTF">2026-04-29T03:44:11Z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C79E8953B6E4496E81977268799BE3E7_13</vt:lpwstr>
  </property>
  <property fmtid="{D5CDD505-2E9C-101B-9397-08002B2CF9AE}" pid="4" name="KSOTemplateDocerSaveRecord">
    <vt:lpwstr>eyJoZGlkIjoiZjVhNGJiMWVmZTg4ZjFhYWZhYWFiMzBkODkwYWRkZmUiLCJ1c2VySWQiOiIyODQ4MjM0MjIifQ==</vt:lpwstr>
  </property>
</Properties>
</file>