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BB910D">
      <w:pPr>
        <w:pStyle w:val="5"/>
        <w:keepNext w:val="0"/>
        <w:keepLines w:val="0"/>
        <w:widowControl w:val="0"/>
        <w:spacing w:before="0" w:after="0" w:line="240" w:lineRule="auto"/>
        <w:jc w:val="center"/>
        <w:rPr>
          <w:rFonts w:hint="eastAsia" w:ascii="仿宋" w:hAnsi="仿宋" w:eastAsia="仿宋" w:cs="Times New Roman"/>
          <w:b/>
          <w:bCs w:val="0"/>
          <w:kern w:val="2"/>
          <w:sz w:val="44"/>
          <w:szCs w:val="44"/>
          <w:highlight w:val="none"/>
          <w:lang w:eastAsia="zh-CN"/>
        </w:rPr>
      </w:pPr>
      <w:r>
        <w:rPr>
          <w:rFonts w:hint="eastAsia" w:ascii="仿宋" w:hAnsi="仿宋" w:eastAsia="仿宋" w:cs="Times New Roman"/>
          <w:b/>
          <w:bCs w:val="0"/>
          <w:kern w:val="2"/>
          <w:sz w:val="44"/>
          <w:szCs w:val="44"/>
          <w:highlight w:val="none"/>
          <w:lang w:eastAsia="zh-CN"/>
        </w:rPr>
        <w:t>合同文本</w:t>
      </w:r>
    </w:p>
    <w:p w14:paraId="3D2788A0">
      <w:pPr>
        <w:widowControl w:val="0"/>
        <w:spacing w:before="0" w:after="0" w:line="240" w:lineRule="atLeast"/>
        <w:jc w:val="center"/>
        <w:rPr>
          <w:rFonts w:hint="eastAsia" w:ascii="仿宋" w:hAnsi="仿宋" w:eastAsia="仿宋" w:cs="宋体"/>
          <w:b/>
          <w:bCs/>
          <w:kern w:val="2"/>
          <w:sz w:val="21"/>
          <w:szCs w:val="21"/>
          <w:highlight w:val="none"/>
          <w:lang w:eastAsia="zh-CN"/>
        </w:rPr>
      </w:pPr>
      <w:r>
        <w:rPr>
          <w:rFonts w:hint="eastAsia" w:ascii="仿宋" w:hAnsi="仿宋" w:eastAsia="仿宋" w:cs="宋体"/>
          <w:b/>
          <w:bCs/>
          <w:kern w:val="2"/>
          <w:sz w:val="21"/>
          <w:szCs w:val="21"/>
          <w:highlight w:val="none"/>
          <w:lang w:eastAsia="zh-CN"/>
        </w:rPr>
        <w:t>（本格式条款供双方签订合同参考，采购人可根据项目的实际情况增减条款和内容）</w:t>
      </w:r>
    </w:p>
    <w:p w14:paraId="033DB5CF">
      <w:pPr>
        <w:pStyle w:val="5"/>
        <w:keepNext w:val="0"/>
        <w:keepLines w:val="0"/>
        <w:pageBreakBefore w:val="0"/>
        <w:spacing w:before="120" w:after="225" w:line="288" w:lineRule="auto"/>
        <w:jc w:val="center"/>
        <w:outlineLvl w:val="0"/>
        <w:rPr>
          <w:rFonts w:ascii="黑体" w:hAnsi="黑体" w:eastAsia="黑体" w:cs="黑体"/>
          <w:b/>
          <w:color w:val="000000"/>
          <w:sz w:val="33"/>
          <w:highlight w:val="none"/>
        </w:rPr>
      </w:pPr>
    </w:p>
    <w:p w14:paraId="46C54760">
      <w:pPr>
        <w:widowControl w:val="0"/>
        <w:spacing w:before="0" w:after="0" w:line="720" w:lineRule="auto"/>
        <w:jc w:val="center"/>
        <w:rPr>
          <w:rFonts w:ascii="仿宋" w:hAnsi="仿宋" w:eastAsia="仿宋" w:cs="Times New Roman"/>
          <w:b/>
          <w:kern w:val="2"/>
          <w:sz w:val="52"/>
          <w:szCs w:val="52"/>
          <w:highlight w:val="none"/>
          <w:lang w:eastAsia="zh-CN"/>
        </w:rPr>
      </w:pPr>
      <w:r>
        <w:rPr>
          <w:rFonts w:ascii="仿宋" w:hAnsi="仿宋" w:eastAsia="仿宋" w:cs="Times New Roman"/>
          <w:b/>
          <w:kern w:val="2"/>
          <w:sz w:val="52"/>
          <w:szCs w:val="52"/>
          <w:highlight w:val="none"/>
          <w:lang w:eastAsia="zh-CN"/>
        </w:rPr>
        <w:t>2026年度草堂街道办事处清扫保洁、绿化养护、公厕管理及垃圾清运服务项目合同</w:t>
      </w:r>
    </w:p>
    <w:p w14:paraId="5AFC0EB0">
      <w:pPr>
        <w:widowControl w:val="0"/>
        <w:snapToGrid w:val="0"/>
        <w:spacing w:before="0" w:after="0" w:line="720" w:lineRule="auto"/>
        <w:jc w:val="both"/>
        <w:rPr>
          <w:rFonts w:hint="eastAsia" w:ascii="仿宋" w:hAnsi="仿宋" w:eastAsia="仿宋" w:cs="Times New Roman"/>
          <w:bCs/>
          <w:kern w:val="2"/>
          <w:sz w:val="30"/>
          <w:szCs w:val="30"/>
          <w:highlight w:val="none"/>
          <w:lang w:eastAsia="zh-CN"/>
        </w:rPr>
      </w:pPr>
      <w:r>
        <w:rPr>
          <w:rFonts w:hint="eastAsia" w:ascii="仿宋" w:hAnsi="仿宋" w:eastAsia="仿宋" w:cs="Times New Roman"/>
          <w:bCs/>
          <w:kern w:val="2"/>
          <w:sz w:val="30"/>
          <w:szCs w:val="30"/>
          <w:highlight w:val="none"/>
          <w:lang w:eastAsia="zh-CN"/>
        </w:rPr>
        <w:t>项目编号：________________________</w:t>
      </w:r>
    </w:p>
    <w:p w14:paraId="154746E6">
      <w:pPr>
        <w:widowControl w:val="0"/>
        <w:snapToGrid w:val="0"/>
        <w:spacing w:before="0" w:after="0" w:line="720" w:lineRule="auto"/>
        <w:jc w:val="both"/>
        <w:rPr>
          <w:rFonts w:hint="eastAsia" w:ascii="仿宋" w:hAnsi="仿宋" w:eastAsia="仿宋" w:cs="Times New Roman"/>
          <w:bCs/>
          <w:kern w:val="2"/>
          <w:sz w:val="30"/>
          <w:szCs w:val="30"/>
          <w:highlight w:val="none"/>
          <w:lang w:eastAsia="zh-CN"/>
        </w:rPr>
      </w:pPr>
      <w:r>
        <w:rPr>
          <w:rFonts w:hint="eastAsia" w:ascii="仿宋" w:hAnsi="仿宋" w:eastAsia="仿宋" w:cs="Times New Roman"/>
          <w:bCs/>
          <w:kern w:val="2"/>
          <w:sz w:val="30"/>
          <w:szCs w:val="30"/>
          <w:highlight w:val="none"/>
          <w:lang w:eastAsia="zh-CN"/>
        </w:rPr>
        <w:t>甲方（采购人）：__________________</w:t>
      </w:r>
    </w:p>
    <w:p w14:paraId="171F478F">
      <w:pPr>
        <w:widowControl w:val="0"/>
        <w:snapToGrid w:val="0"/>
        <w:spacing w:before="0" w:after="0" w:line="720" w:lineRule="auto"/>
        <w:jc w:val="both"/>
        <w:rPr>
          <w:rFonts w:hint="eastAsia" w:ascii="仿宋" w:hAnsi="仿宋" w:eastAsia="仿宋" w:cs="Times New Roman"/>
          <w:bCs/>
          <w:kern w:val="2"/>
          <w:sz w:val="30"/>
          <w:szCs w:val="30"/>
          <w:highlight w:val="none"/>
          <w:lang w:eastAsia="zh-CN"/>
        </w:rPr>
      </w:pPr>
      <w:r>
        <w:rPr>
          <w:rFonts w:hint="eastAsia" w:ascii="仿宋" w:hAnsi="仿宋" w:eastAsia="仿宋" w:cs="Times New Roman"/>
          <w:bCs/>
          <w:kern w:val="2"/>
          <w:sz w:val="30"/>
          <w:szCs w:val="30"/>
          <w:highlight w:val="none"/>
          <w:lang w:eastAsia="zh-CN"/>
        </w:rPr>
        <w:t>乙方（中标人）：__________________</w:t>
      </w:r>
    </w:p>
    <w:p w14:paraId="69528D56">
      <w:pPr>
        <w:widowControl w:val="0"/>
        <w:snapToGrid w:val="0"/>
        <w:spacing w:before="0" w:after="0" w:line="720" w:lineRule="auto"/>
        <w:jc w:val="both"/>
        <w:rPr>
          <w:rFonts w:hint="eastAsia" w:ascii="仿宋" w:hAnsi="仿宋" w:eastAsia="仿宋" w:cs="Times New Roman"/>
          <w:bCs/>
          <w:kern w:val="2"/>
          <w:sz w:val="30"/>
          <w:szCs w:val="30"/>
          <w:highlight w:val="none"/>
          <w:lang w:eastAsia="zh-CN"/>
        </w:rPr>
      </w:pPr>
      <w:r>
        <w:rPr>
          <w:rFonts w:hint="eastAsia" w:ascii="仿宋" w:hAnsi="仿宋" w:eastAsia="仿宋" w:cs="Times New Roman"/>
          <w:bCs/>
          <w:kern w:val="2"/>
          <w:sz w:val="30"/>
          <w:szCs w:val="30"/>
          <w:highlight w:val="none"/>
          <w:lang w:eastAsia="zh-CN"/>
        </w:rPr>
        <w:t>合同签订日期：______年____月____日</w:t>
      </w:r>
    </w:p>
    <w:p w14:paraId="55400C44">
      <w:pPr>
        <w:spacing w:after="90" w:line="288" w:lineRule="auto"/>
        <w:ind w:firstLine="480"/>
        <w:jc w:val="both"/>
        <w:rPr>
          <w:highlight w:val="none"/>
        </w:rPr>
      </w:pPr>
      <w:r>
        <w:rPr>
          <w:rFonts w:ascii="仿宋_GB2312" w:hAnsi="仿宋_GB2312" w:eastAsia="仿宋_GB2312" w:cs="仿宋_GB2312"/>
          <w:color w:val="000000"/>
          <w:sz w:val="24"/>
          <w:highlight w:val="none"/>
        </w:rPr>
        <w:t>发包方：</w:t>
      </w:r>
      <w:r>
        <w:rPr>
          <w:rFonts w:hint="eastAsia" w:ascii="仿宋_GB2312" w:hAnsi="仿宋_GB2312" w:eastAsia="仿宋_GB2312" w:cs="仿宋_GB2312"/>
          <w:color w:val="000000"/>
          <w:sz w:val="24"/>
          <w:highlight w:val="none"/>
          <w:u w:val="single"/>
          <w:lang w:val="en-US" w:eastAsia="zh-CN"/>
        </w:rPr>
        <w:t xml:space="preserve">                        </w:t>
      </w:r>
      <w:r>
        <w:rPr>
          <w:rFonts w:ascii="仿宋_GB2312" w:hAnsi="仿宋_GB2312" w:eastAsia="仿宋_GB2312" w:cs="仿宋_GB2312"/>
          <w:color w:val="000000"/>
          <w:sz w:val="24"/>
          <w:highlight w:val="none"/>
        </w:rPr>
        <w:t>（甲方）</w:t>
      </w:r>
    </w:p>
    <w:p w14:paraId="0BE7918A">
      <w:pPr>
        <w:spacing w:after="90" w:line="288" w:lineRule="auto"/>
        <w:ind w:firstLine="480"/>
        <w:jc w:val="both"/>
        <w:rPr>
          <w:highlight w:val="none"/>
        </w:rPr>
      </w:pPr>
      <w:r>
        <w:rPr>
          <w:rFonts w:ascii="仿宋_GB2312" w:hAnsi="仿宋_GB2312" w:eastAsia="仿宋_GB2312" w:cs="仿宋_GB2312"/>
          <w:color w:val="000000"/>
          <w:sz w:val="24"/>
          <w:highlight w:val="none"/>
        </w:rPr>
        <w:t>承包方：</w:t>
      </w:r>
      <w:r>
        <w:rPr>
          <w:rFonts w:hint="eastAsia" w:ascii="仿宋_GB2312" w:hAnsi="仿宋_GB2312" w:eastAsia="仿宋_GB2312" w:cs="仿宋_GB2312"/>
          <w:color w:val="000000"/>
          <w:sz w:val="24"/>
          <w:highlight w:val="none"/>
          <w:u w:val="single"/>
          <w:lang w:val="en-US" w:eastAsia="zh-CN"/>
        </w:rPr>
        <w:t xml:space="preserve">                        </w:t>
      </w:r>
      <w:r>
        <w:rPr>
          <w:rFonts w:ascii="仿宋_GB2312" w:hAnsi="仿宋_GB2312" w:eastAsia="仿宋_GB2312" w:cs="仿宋_GB2312"/>
          <w:color w:val="000000"/>
          <w:sz w:val="24"/>
          <w:highlight w:val="none"/>
        </w:rPr>
        <w:t>（乙方）</w:t>
      </w:r>
    </w:p>
    <w:p w14:paraId="180FA344">
      <w:pPr>
        <w:spacing w:after="90" w:line="288" w:lineRule="auto"/>
        <w:ind w:firstLine="480"/>
        <w:jc w:val="both"/>
        <w:rPr>
          <w:highlight w:val="none"/>
        </w:rPr>
      </w:pPr>
      <w:r>
        <w:rPr>
          <w:rFonts w:ascii="仿宋_GB2312" w:hAnsi="仿宋_GB2312" w:eastAsia="仿宋_GB2312" w:cs="仿宋_GB2312"/>
          <w:color w:val="000000"/>
          <w:sz w:val="24"/>
          <w:highlight w:val="none"/>
        </w:rPr>
        <w:t>为提高西安高新区市容环境卫生及绿化养护管理水平，营造良好的投资和人居生活环境，按照《西安市市容环境卫生管理条例》、《西安市城市绿化管理条例》、《西安高新区绿化养护管理标准》、《农药管理条例》、西安高新区《城市容貌标准》，经甲、乙双方在平等自愿的基础上，本着公平、公正的原则共同协商，就乙方承揽甲方2026年度草堂街道办事处清扫保洁、绿化养护、公厕管理及垃圾清运服务项目的事宜达成一致，通过招标程序最终确定由</w:t>
      </w:r>
      <w:r>
        <w:rPr>
          <w:rFonts w:hint="eastAsia" w:ascii="仿宋_GB2312" w:hAnsi="仿宋_GB2312" w:eastAsia="仿宋_GB2312" w:cs="仿宋_GB2312"/>
          <w:color w:val="000000"/>
          <w:sz w:val="24"/>
          <w:highlight w:val="none"/>
          <w:u w:val="single"/>
          <w:lang w:val="en-US" w:eastAsia="zh-CN"/>
        </w:rPr>
        <w:t xml:space="preserve">                </w:t>
      </w:r>
      <w:r>
        <w:rPr>
          <w:rFonts w:ascii="仿宋_GB2312" w:hAnsi="仿宋_GB2312" w:eastAsia="仿宋_GB2312" w:cs="仿宋_GB2312"/>
          <w:color w:val="000000"/>
          <w:sz w:val="24"/>
          <w:highlight w:val="none"/>
        </w:rPr>
        <w:t>为本项目承包方。特订立本合同，以资共同遵守。</w:t>
      </w:r>
    </w:p>
    <w:p w14:paraId="0B17190A">
      <w:pPr>
        <w:pStyle w:val="6"/>
        <w:keepNext w:val="0"/>
        <w:keepLines w:val="0"/>
        <w:pageBreakBefore w:val="0"/>
        <w:spacing w:before="187" w:after="112" w:line="288" w:lineRule="auto"/>
        <w:outlineLvl w:val="1"/>
        <w:rPr>
          <w:highlight w:val="none"/>
        </w:rPr>
      </w:pPr>
      <w:r>
        <w:rPr>
          <w:rFonts w:ascii="黑体" w:hAnsi="黑体" w:eastAsia="黑体" w:cs="黑体"/>
          <w:b/>
          <w:color w:val="000000"/>
          <w:sz w:val="27"/>
          <w:highlight w:val="none"/>
        </w:rPr>
        <w:t>第一章 总 则</w:t>
      </w:r>
    </w:p>
    <w:p w14:paraId="4FAE615E">
      <w:pPr>
        <w:spacing w:after="90" w:line="288" w:lineRule="auto"/>
        <w:ind w:firstLine="480"/>
        <w:jc w:val="both"/>
        <w:rPr>
          <w:highlight w:val="none"/>
        </w:rPr>
      </w:pPr>
      <w:r>
        <w:rPr>
          <w:rFonts w:ascii="仿宋_GB2312" w:hAnsi="仿宋_GB2312" w:eastAsia="仿宋_GB2312" w:cs="仿宋_GB2312"/>
          <w:b/>
          <w:color w:val="000000"/>
          <w:sz w:val="24"/>
          <w:highlight w:val="none"/>
        </w:rPr>
        <w:t>第一条</w:t>
      </w:r>
      <w:r>
        <w:rPr>
          <w:rFonts w:ascii="仿宋_GB2312" w:hAnsi="仿宋_GB2312" w:eastAsia="仿宋_GB2312" w:cs="仿宋_GB2312"/>
          <w:color w:val="000000"/>
          <w:sz w:val="24"/>
          <w:highlight w:val="none"/>
        </w:rPr>
        <w:t xml:space="preserve"> 承包单位必须坚决贯彻《西安市市容环境卫生管理条例》、《西安高新区道路保洁质量标准和考核办法》、《西安市城市绿化管理条例》等各项内容并遵守由高新区制定的各项市容环境卫生和绿化管理规定。</w:t>
      </w:r>
    </w:p>
    <w:p w14:paraId="4EEA69CE">
      <w:pPr>
        <w:pStyle w:val="6"/>
        <w:keepNext w:val="0"/>
        <w:keepLines w:val="0"/>
        <w:pageBreakBefore w:val="0"/>
        <w:spacing w:before="187" w:after="112" w:line="288" w:lineRule="auto"/>
        <w:outlineLvl w:val="1"/>
        <w:rPr>
          <w:highlight w:val="none"/>
        </w:rPr>
      </w:pPr>
      <w:r>
        <w:rPr>
          <w:rFonts w:ascii="黑体" w:hAnsi="黑体" w:eastAsia="黑体" w:cs="黑体"/>
          <w:b/>
          <w:color w:val="000000"/>
          <w:sz w:val="27"/>
          <w:highlight w:val="none"/>
        </w:rPr>
        <w:t>第二章 承包的主要指标</w:t>
      </w:r>
    </w:p>
    <w:p w14:paraId="60B30E35">
      <w:pPr>
        <w:spacing w:after="90" w:line="288" w:lineRule="auto"/>
        <w:ind w:firstLine="480"/>
        <w:jc w:val="both"/>
        <w:rPr>
          <w:highlight w:val="none"/>
        </w:rPr>
      </w:pPr>
      <w:r>
        <w:rPr>
          <w:rFonts w:ascii="仿宋_GB2312" w:hAnsi="仿宋_GB2312" w:eastAsia="仿宋_GB2312" w:cs="仿宋_GB2312"/>
          <w:b/>
          <w:color w:val="000000"/>
          <w:sz w:val="24"/>
          <w:highlight w:val="none"/>
        </w:rPr>
        <w:t>第二条 承包范围</w:t>
      </w:r>
    </w:p>
    <w:p w14:paraId="26E7638F">
      <w:pPr>
        <w:pStyle w:val="16"/>
        <w:numPr>
          <w:ilvl w:val="0"/>
          <w:numId w:val="7"/>
        </w:numPr>
        <w:spacing w:after="60" w:line="288" w:lineRule="auto"/>
        <w:ind w:left="960" w:hanging="360"/>
        <w:rPr>
          <w:rFonts w:hint="eastAsia" w:ascii="仿宋_GB2312" w:hAnsi="仿宋_GB2312" w:eastAsia="仿宋_GB2312" w:cs="仿宋_GB2312"/>
          <w:color w:val="000000"/>
          <w:sz w:val="24"/>
          <w:highlight w:val="none"/>
          <w:lang w:val="en-US" w:eastAsia="zh-CN"/>
        </w:rPr>
      </w:pPr>
      <w:r>
        <w:rPr>
          <w:rFonts w:ascii="仿宋_GB2312" w:hAnsi="仿宋_GB2312" w:eastAsia="仿宋_GB2312" w:cs="仿宋_GB2312"/>
          <w:color w:val="000000"/>
          <w:sz w:val="24"/>
          <w:highlight w:val="none"/>
        </w:rPr>
        <w:t>承包范围：清扫保洁面积</w:t>
      </w:r>
      <w:r>
        <w:rPr>
          <w:rFonts w:hint="eastAsia" w:ascii="仿宋_GB2312" w:hAnsi="仿宋_GB2312" w:eastAsia="仿宋_GB2312" w:cs="仿宋_GB2312"/>
          <w:color w:val="000000"/>
          <w:sz w:val="24"/>
          <w:highlight w:val="none"/>
          <w:lang w:eastAsia="zh-CN"/>
        </w:rPr>
        <w:t>；</w:t>
      </w:r>
      <w:r>
        <w:rPr>
          <w:rFonts w:hint="eastAsia" w:ascii="仿宋_GB2312" w:hAnsi="仿宋_GB2312" w:eastAsia="仿宋_GB2312" w:cs="仿宋_GB2312"/>
          <w:color w:val="000000"/>
          <w:sz w:val="24"/>
          <w:highlight w:val="none"/>
          <w:u w:val="single"/>
          <w:lang w:val="en-US" w:eastAsia="zh-CN"/>
        </w:rPr>
        <w:t xml:space="preserve">            </w:t>
      </w:r>
      <w:r>
        <w:rPr>
          <w:rFonts w:ascii="仿宋_GB2312" w:hAnsi="仿宋_GB2312" w:eastAsia="仿宋_GB2312" w:cs="仿宋_GB2312"/>
          <w:color w:val="000000"/>
          <w:sz w:val="24"/>
          <w:highlight w:val="none"/>
        </w:rPr>
        <w:t>m²</w:t>
      </w:r>
      <w:r>
        <w:rPr>
          <w:rFonts w:hint="eastAsia" w:ascii="仿宋_GB2312" w:hAnsi="仿宋_GB2312" w:eastAsia="仿宋_GB2312" w:cs="仿宋_GB2312"/>
          <w:color w:val="000000"/>
          <w:sz w:val="24"/>
          <w:highlight w:val="none"/>
          <w:u w:val="none"/>
          <w:lang w:val="en-US" w:eastAsia="zh-CN"/>
        </w:rPr>
        <w:t>；</w:t>
      </w:r>
    </w:p>
    <w:p w14:paraId="38BADCDA">
      <w:pPr>
        <w:pStyle w:val="16"/>
        <w:numPr>
          <w:ilvl w:val="0"/>
          <w:numId w:val="7"/>
        </w:numPr>
        <w:spacing w:after="60" w:line="288" w:lineRule="auto"/>
        <w:ind w:left="960" w:hanging="360"/>
        <w:rPr>
          <w:highlight w:val="none"/>
        </w:rPr>
      </w:pPr>
      <w:r>
        <w:rPr>
          <w:rFonts w:ascii="仿宋_GB2312" w:hAnsi="仿宋_GB2312" w:eastAsia="仿宋_GB2312" w:cs="仿宋_GB2312"/>
          <w:color w:val="000000"/>
          <w:sz w:val="24"/>
          <w:highlight w:val="none"/>
        </w:rPr>
        <w:t>承包区域的绿化养护面积：</w:t>
      </w:r>
      <w:r>
        <w:rPr>
          <w:rFonts w:hint="eastAsia" w:ascii="仿宋_GB2312" w:hAnsi="仿宋_GB2312" w:eastAsia="仿宋_GB2312" w:cs="仿宋_GB2312"/>
          <w:color w:val="000000"/>
          <w:sz w:val="24"/>
          <w:highlight w:val="none"/>
          <w:u w:val="single"/>
          <w:lang w:val="en-US" w:eastAsia="zh-CN"/>
        </w:rPr>
        <w:t xml:space="preserve">            </w:t>
      </w:r>
      <w:r>
        <w:rPr>
          <w:rFonts w:ascii="仿宋_GB2312" w:hAnsi="仿宋_GB2312" w:eastAsia="仿宋_GB2312" w:cs="仿宋_GB2312"/>
          <w:color w:val="000000"/>
          <w:sz w:val="24"/>
          <w:highlight w:val="none"/>
        </w:rPr>
        <w:t>m²</w:t>
      </w:r>
      <w:r>
        <w:rPr>
          <w:rFonts w:hint="eastAsia" w:ascii="仿宋_GB2312" w:hAnsi="仿宋_GB2312" w:eastAsia="仿宋_GB2312" w:cs="仿宋_GB2312"/>
          <w:color w:val="000000"/>
          <w:sz w:val="24"/>
          <w:highlight w:val="none"/>
          <w:lang w:eastAsia="zh-CN"/>
        </w:rPr>
        <w:t>；</w:t>
      </w:r>
      <w:bookmarkStart w:id="0" w:name="_GoBack"/>
      <w:bookmarkEnd w:id="0"/>
    </w:p>
    <w:p w14:paraId="49A99DBA">
      <w:pPr>
        <w:pStyle w:val="16"/>
        <w:numPr>
          <w:ilvl w:val="0"/>
          <w:numId w:val="7"/>
        </w:numPr>
        <w:spacing w:after="60" w:line="288" w:lineRule="auto"/>
        <w:ind w:left="960" w:hanging="360"/>
        <w:rPr>
          <w:highlight w:val="none"/>
        </w:rPr>
      </w:pPr>
      <w:r>
        <w:rPr>
          <w:rFonts w:ascii="仿宋_GB2312" w:hAnsi="仿宋_GB2312" w:eastAsia="仿宋_GB2312" w:cs="仿宋_GB2312"/>
          <w:color w:val="000000"/>
          <w:sz w:val="24"/>
          <w:highlight w:val="none"/>
        </w:rPr>
        <w:t>公厕</w:t>
      </w:r>
      <w:r>
        <w:rPr>
          <w:rFonts w:hint="eastAsia" w:ascii="仿宋_GB2312" w:hAnsi="仿宋_GB2312" w:eastAsia="仿宋_GB2312" w:cs="仿宋_GB2312"/>
          <w:color w:val="000000"/>
          <w:sz w:val="24"/>
          <w:highlight w:val="none"/>
          <w:u w:val="single"/>
          <w:lang w:val="en-US" w:eastAsia="zh-CN"/>
        </w:rPr>
        <w:t xml:space="preserve">          </w:t>
      </w:r>
      <w:r>
        <w:rPr>
          <w:rFonts w:ascii="仿宋_GB2312" w:hAnsi="仿宋_GB2312" w:eastAsia="仿宋_GB2312" w:cs="仿宋_GB2312"/>
          <w:color w:val="000000"/>
          <w:sz w:val="24"/>
          <w:highlight w:val="none"/>
        </w:rPr>
        <w:t>座</w:t>
      </w:r>
      <w:r>
        <w:rPr>
          <w:rFonts w:hint="eastAsia" w:ascii="仿宋_GB2312" w:hAnsi="仿宋_GB2312" w:eastAsia="仿宋_GB2312" w:cs="仿宋_GB2312"/>
          <w:color w:val="000000"/>
          <w:sz w:val="24"/>
          <w:highlight w:val="none"/>
          <w:lang w:eastAsia="zh-CN"/>
        </w:rPr>
        <w:t>；</w:t>
      </w:r>
    </w:p>
    <w:p w14:paraId="48DADB99">
      <w:pPr>
        <w:pStyle w:val="16"/>
        <w:numPr>
          <w:ilvl w:val="0"/>
          <w:numId w:val="7"/>
        </w:numPr>
        <w:spacing w:after="60" w:line="288" w:lineRule="auto"/>
        <w:ind w:left="960" w:hanging="360"/>
        <w:rPr>
          <w:rFonts w:hint="default" w:ascii="仿宋_GB2312" w:hAnsi="仿宋_GB2312" w:eastAsia="仿宋_GB2312" w:cs="仿宋_GB2312"/>
          <w:b/>
          <w:color w:val="000000"/>
          <w:sz w:val="24"/>
          <w:highlight w:val="none"/>
          <w:lang w:val="en-US" w:eastAsia="zh-CN"/>
        </w:rPr>
      </w:pPr>
      <w:r>
        <w:rPr>
          <w:rFonts w:hint="eastAsia" w:ascii="仿宋_GB2312" w:hAnsi="仿宋_GB2312" w:eastAsia="仿宋_GB2312" w:cs="仿宋_GB2312"/>
          <w:color w:val="000000"/>
          <w:sz w:val="24"/>
          <w:highlight w:val="none"/>
          <w:lang w:val="en-US" w:eastAsia="zh-CN"/>
        </w:rPr>
        <w:t>辖区</w:t>
      </w:r>
      <w:r>
        <w:rPr>
          <w:rFonts w:hint="eastAsia" w:ascii="仿宋_GB2312" w:hAnsi="仿宋_GB2312" w:eastAsia="仿宋_GB2312" w:cs="仿宋_GB2312"/>
          <w:color w:val="000000"/>
          <w:sz w:val="24"/>
          <w:highlight w:val="none"/>
          <w:u w:val="single"/>
          <w:lang w:val="en-US" w:eastAsia="zh-CN"/>
        </w:rPr>
        <w:t xml:space="preserve">    </w:t>
      </w:r>
      <w:r>
        <w:rPr>
          <w:rFonts w:hint="eastAsia" w:ascii="仿宋_GB2312" w:hAnsi="仿宋_GB2312" w:eastAsia="仿宋_GB2312" w:cs="仿宋_GB2312"/>
          <w:color w:val="000000"/>
          <w:sz w:val="24"/>
          <w:highlight w:val="none"/>
          <w:u w:val="none"/>
          <w:lang w:val="en-US" w:eastAsia="zh-CN"/>
        </w:rPr>
        <w:t>个</w:t>
      </w:r>
      <w:r>
        <w:rPr>
          <w:rFonts w:hint="eastAsia" w:ascii="仿宋_GB2312" w:hAnsi="仿宋_GB2312" w:eastAsia="仿宋_GB2312" w:cs="仿宋_GB2312"/>
          <w:color w:val="000000"/>
          <w:sz w:val="24"/>
          <w:highlight w:val="none"/>
          <w:lang w:val="en-US" w:eastAsia="zh-CN"/>
        </w:rPr>
        <w:t>行政村（社区）及主次干道垃圾清运</w:t>
      </w:r>
      <w:r>
        <w:rPr>
          <w:rFonts w:hint="eastAsia" w:ascii="仿宋_GB2312" w:hAnsi="仿宋_GB2312" w:eastAsia="仿宋_GB2312" w:cs="仿宋_GB2312"/>
          <w:color w:val="000000"/>
          <w:sz w:val="24"/>
          <w:highlight w:val="none"/>
          <w:u w:val="none"/>
          <w:lang w:val="en-US" w:eastAsia="zh-CN"/>
        </w:rPr>
        <w:t>；</w:t>
      </w:r>
    </w:p>
    <w:p w14:paraId="3E402CC0">
      <w:pPr>
        <w:spacing w:after="90" w:line="288" w:lineRule="auto"/>
        <w:ind w:firstLine="480"/>
        <w:jc w:val="both"/>
        <w:rPr>
          <w:highlight w:val="none"/>
        </w:rPr>
      </w:pPr>
      <w:r>
        <w:rPr>
          <w:rFonts w:ascii="仿宋_GB2312" w:hAnsi="仿宋_GB2312" w:eastAsia="仿宋_GB2312" w:cs="仿宋_GB2312"/>
          <w:b/>
          <w:color w:val="000000"/>
          <w:sz w:val="24"/>
          <w:highlight w:val="none"/>
        </w:rPr>
        <w:t>第三条 承包经费</w:t>
      </w:r>
    </w:p>
    <w:p w14:paraId="47BB0751">
      <w:pPr>
        <w:spacing w:after="90" w:line="288" w:lineRule="auto"/>
        <w:ind w:firstLine="480"/>
        <w:jc w:val="both"/>
        <w:rPr>
          <w:rFonts w:hint="eastAsia" w:eastAsia="仿宋_GB2312"/>
          <w:highlight w:val="none"/>
          <w:lang w:eastAsia="zh-CN"/>
        </w:rPr>
      </w:pPr>
      <w:r>
        <w:rPr>
          <w:rFonts w:ascii="仿宋_GB2312" w:hAnsi="仿宋_GB2312" w:eastAsia="仿宋_GB2312" w:cs="仿宋_GB2312"/>
          <w:color w:val="000000"/>
          <w:sz w:val="24"/>
          <w:highlight w:val="none"/>
        </w:rPr>
        <w:t>承包总经费</w:t>
      </w:r>
      <w:r>
        <w:rPr>
          <w:rFonts w:hint="eastAsia" w:ascii="仿宋_GB2312" w:hAnsi="仿宋_GB2312" w:eastAsia="仿宋_GB2312" w:cs="仿宋_GB2312"/>
          <w:color w:val="000000"/>
          <w:sz w:val="24"/>
          <w:highlight w:val="none"/>
          <w:u w:val="single"/>
          <w:lang w:val="en-US" w:eastAsia="zh-CN"/>
        </w:rPr>
        <w:t xml:space="preserve">          </w:t>
      </w:r>
      <w:r>
        <w:rPr>
          <w:rFonts w:ascii="仿宋_GB2312" w:hAnsi="仿宋_GB2312" w:eastAsia="仿宋_GB2312" w:cs="仿宋_GB2312"/>
          <w:color w:val="000000"/>
          <w:sz w:val="24"/>
          <w:highlight w:val="none"/>
        </w:rPr>
        <w:t>元</w:t>
      </w:r>
      <w:r>
        <w:rPr>
          <w:rFonts w:hint="eastAsia" w:ascii="仿宋_GB2312" w:hAnsi="仿宋_GB2312" w:eastAsia="仿宋_GB2312" w:cs="仿宋_GB2312"/>
          <w:color w:val="000000"/>
          <w:sz w:val="24"/>
          <w:highlight w:val="none"/>
          <w:lang w:val="en-US" w:eastAsia="zh-CN"/>
        </w:rPr>
        <w:t>/年</w:t>
      </w:r>
      <w:r>
        <w:rPr>
          <w:rFonts w:ascii="仿宋_GB2312" w:hAnsi="仿宋_GB2312" w:eastAsia="仿宋_GB2312" w:cs="仿宋_GB2312"/>
          <w:color w:val="000000"/>
          <w:sz w:val="24"/>
          <w:highlight w:val="none"/>
        </w:rPr>
        <w:t>。</w:t>
      </w:r>
      <w:r>
        <w:rPr>
          <w:rFonts w:hint="eastAsia" w:ascii="仿宋_GB2312" w:hAnsi="仿宋_GB2312" w:eastAsia="仿宋_GB2312" w:cs="仿宋_GB2312"/>
          <w:color w:val="000000"/>
          <w:sz w:val="24"/>
          <w:highlight w:val="none"/>
          <w:lang w:eastAsia="zh-CN"/>
        </w:rPr>
        <w:t>（</w:t>
      </w:r>
      <w:r>
        <w:rPr>
          <w:rFonts w:hint="eastAsia" w:ascii="仿宋_GB2312" w:hAnsi="仿宋_GB2312" w:eastAsia="仿宋_GB2312" w:cs="仿宋_GB2312"/>
          <w:color w:val="000000"/>
          <w:sz w:val="24"/>
          <w:highlight w:val="none"/>
          <w:lang w:val="en-US" w:eastAsia="zh-CN"/>
        </w:rPr>
        <w:t>包含道路清扫保洁、绿化养护、公厕管理及垃圾清运等一切费用</w:t>
      </w:r>
      <w:r>
        <w:rPr>
          <w:rFonts w:hint="eastAsia" w:ascii="仿宋_GB2312" w:hAnsi="仿宋_GB2312" w:eastAsia="仿宋_GB2312" w:cs="仿宋_GB2312"/>
          <w:color w:val="000000"/>
          <w:sz w:val="24"/>
          <w:highlight w:val="none"/>
          <w:lang w:eastAsia="zh-CN"/>
        </w:rPr>
        <w:t>）</w:t>
      </w:r>
    </w:p>
    <w:p w14:paraId="6BF43915">
      <w:pPr>
        <w:pStyle w:val="16"/>
        <w:numPr>
          <w:ilvl w:val="0"/>
          <w:numId w:val="8"/>
        </w:numPr>
        <w:spacing w:after="60" w:line="288" w:lineRule="auto"/>
        <w:ind w:left="960" w:hanging="360"/>
        <w:rPr>
          <w:highlight w:val="none"/>
        </w:rPr>
      </w:pPr>
      <w:r>
        <w:rPr>
          <w:rFonts w:ascii="仿宋_GB2312" w:hAnsi="仿宋_GB2312" w:eastAsia="仿宋_GB2312" w:cs="仿宋_GB2312"/>
          <w:b/>
          <w:color w:val="000000"/>
          <w:sz w:val="24"/>
          <w:highlight w:val="none"/>
        </w:rPr>
        <w:t>费用相关说明：清扫保洁费用包含：</w:t>
      </w:r>
      <w:r>
        <w:rPr>
          <w:rFonts w:ascii="仿宋_GB2312" w:hAnsi="仿宋_GB2312" w:eastAsia="仿宋_GB2312" w:cs="仿宋_GB2312"/>
          <w:color w:val="000000"/>
          <w:sz w:val="24"/>
          <w:highlight w:val="none"/>
        </w:rPr>
        <w:t>1、保洁员工资，周末及法定节假日加班费、夏季降温费、高温补贴、冬季取暖费、社会劳动保险、人身意外保险、劳保费、置装费、劳动工器具及保洁三轮车购置费用；2、驾驶员工资、周末及法定节假日加班费、夏季降温费、高温补贴、冬季取暖费、社会劳动保险、人身意外保险、劳保费、置装费、车辆油料费、保险费、审车费、维修费、耗材费、水费、消防栓维护费；3、驾驶员及垃圾装卸工工资、周末及法定节假日加班费、夏季降温费、高温补贴、冬季取暖费、社会劳动保险、人身意外保险、劳保费、置装费、车辆油料费、维修费、大件垃圾清运费、垃圾分类设施投放费、垃圾分类宣传费。</w:t>
      </w:r>
      <w:r>
        <w:rPr>
          <w:rFonts w:ascii="仿宋_GB2312" w:hAnsi="仿宋_GB2312" w:eastAsia="仿宋_GB2312" w:cs="仿宋_GB2312"/>
          <w:b/>
          <w:color w:val="000000"/>
          <w:sz w:val="24"/>
          <w:highlight w:val="none"/>
        </w:rPr>
        <w:t>公厕管理费用包含：</w:t>
      </w:r>
      <w:r>
        <w:rPr>
          <w:rFonts w:ascii="仿宋_GB2312" w:hAnsi="仿宋_GB2312" w:eastAsia="仿宋_GB2312" w:cs="仿宋_GB2312"/>
          <w:color w:val="000000"/>
          <w:sz w:val="24"/>
          <w:highlight w:val="none"/>
        </w:rPr>
        <w:t>公厕管理人员工资，周末及法定节假日加班费、夏季降温费、高温补贴、冬季取暖费、社会劳动保险、人身意外保险、劳保费、置装费、小型维修养护费、耗材费、清污费、水电费。</w:t>
      </w:r>
      <w:r>
        <w:rPr>
          <w:rFonts w:ascii="仿宋_GB2312" w:hAnsi="仿宋_GB2312" w:eastAsia="仿宋_GB2312" w:cs="仿宋_GB2312"/>
          <w:b/>
          <w:color w:val="000000"/>
          <w:sz w:val="24"/>
          <w:highlight w:val="none"/>
        </w:rPr>
        <w:t>绿化养护费用包含：</w:t>
      </w:r>
      <w:r>
        <w:rPr>
          <w:rFonts w:ascii="仿宋_GB2312" w:hAnsi="仿宋_GB2312" w:eastAsia="仿宋_GB2312" w:cs="仿宋_GB2312"/>
          <w:color w:val="000000"/>
          <w:sz w:val="24"/>
          <w:highlight w:val="none"/>
        </w:rPr>
        <w:t>绿化养护人员工资、周末及法定节假日加班费，夏季高温降温费、冬季取暖费、社会劳动保险、人身意外保险、劳保费、置装费、劳动工器具购置费用、绿化用水费、车辆及机械油料费、设施设备养护维修费、农药化肥养护用品费、绿化垃圾清运费。</w:t>
      </w:r>
      <w:r>
        <w:rPr>
          <w:rFonts w:ascii="仿宋_GB2312" w:hAnsi="仿宋_GB2312" w:eastAsia="仿宋_GB2312" w:cs="仿宋_GB2312"/>
          <w:b/>
          <w:color w:val="000000"/>
          <w:sz w:val="24"/>
          <w:highlight w:val="none"/>
        </w:rPr>
        <w:t>垃圾清运费用包含：</w:t>
      </w:r>
      <w:r>
        <w:rPr>
          <w:rFonts w:ascii="仿宋_GB2312" w:hAnsi="仿宋_GB2312" w:eastAsia="仿宋_GB2312" w:cs="仿宋_GB2312"/>
          <w:color w:val="000000"/>
          <w:sz w:val="24"/>
          <w:highlight w:val="none"/>
        </w:rPr>
        <w:t>垃圾清运人员工资、周末及法定节假日加班费、夏季降温费、高温补贴、冬季取暖费、社会劳动保险、人身意外保险、劳保费、置装费、清运车辆油料费、保险费、审车费、维修费、耗材费、垃圾处置费、中转站运维费、垃圾分类转运费。</w:t>
      </w:r>
    </w:p>
    <w:p w14:paraId="722CBB68">
      <w:pPr>
        <w:pStyle w:val="16"/>
        <w:numPr>
          <w:ilvl w:val="0"/>
          <w:numId w:val="8"/>
        </w:numPr>
        <w:spacing w:after="60" w:line="288" w:lineRule="auto"/>
        <w:ind w:left="960" w:hanging="360"/>
        <w:rPr>
          <w:highlight w:val="none"/>
        </w:rPr>
      </w:pPr>
      <w:r>
        <w:rPr>
          <w:rFonts w:ascii="仿宋_GB2312" w:hAnsi="仿宋_GB2312" w:eastAsia="仿宋_GB2312" w:cs="仿宋_GB2312"/>
          <w:color w:val="000000"/>
          <w:sz w:val="24"/>
          <w:highlight w:val="none"/>
        </w:rPr>
        <w:t>承包周期为：合同期限为一年。按年签定合同，根据服务质量</w:t>
      </w:r>
      <w:r>
        <w:rPr>
          <w:rFonts w:hint="eastAsia" w:ascii="仿宋_GB2312" w:hAnsi="仿宋_GB2312" w:eastAsia="仿宋_GB2312" w:cs="仿宋_GB2312"/>
          <w:color w:val="000000"/>
          <w:sz w:val="24"/>
          <w:highlight w:val="none"/>
          <w:lang w:val="en-US" w:eastAsia="zh-CN"/>
        </w:rPr>
        <w:t>及招标方案</w:t>
      </w:r>
      <w:r>
        <w:rPr>
          <w:rFonts w:ascii="仿宋_GB2312" w:hAnsi="仿宋_GB2312" w:eastAsia="仿宋_GB2312" w:cs="仿宋_GB2312"/>
          <w:color w:val="000000"/>
          <w:sz w:val="24"/>
          <w:highlight w:val="none"/>
        </w:rPr>
        <w:t>最多可续签</w:t>
      </w:r>
      <w:r>
        <w:rPr>
          <w:rFonts w:hint="eastAsia" w:ascii="仿宋_GB2312" w:hAnsi="仿宋_GB2312" w:eastAsia="仿宋_GB2312" w:cs="仿宋_GB2312"/>
          <w:color w:val="000000"/>
          <w:sz w:val="24"/>
          <w:highlight w:val="none"/>
          <w:lang w:val="en-US" w:eastAsia="zh-CN"/>
        </w:rPr>
        <w:t>1</w:t>
      </w:r>
      <w:r>
        <w:rPr>
          <w:rFonts w:ascii="仿宋_GB2312" w:hAnsi="仿宋_GB2312" w:eastAsia="仿宋_GB2312" w:cs="仿宋_GB2312"/>
          <w:color w:val="000000"/>
          <w:sz w:val="24"/>
          <w:highlight w:val="none"/>
        </w:rPr>
        <w:t>次。合同期满前30天，经高新区草堂街办直接管理部门对服务方在合同期内进行考核，考核合格后，可与乙方在次年续签采购合同。</w:t>
      </w:r>
    </w:p>
    <w:p w14:paraId="721EF6CC">
      <w:pPr>
        <w:spacing w:after="90" w:line="288" w:lineRule="auto"/>
        <w:ind w:firstLine="480"/>
        <w:jc w:val="both"/>
        <w:rPr>
          <w:highlight w:val="none"/>
        </w:rPr>
      </w:pPr>
      <w:r>
        <w:rPr>
          <w:rFonts w:ascii="仿宋_GB2312" w:hAnsi="仿宋_GB2312" w:eastAsia="仿宋_GB2312" w:cs="仿宋_GB2312"/>
          <w:b/>
          <w:color w:val="000000"/>
          <w:sz w:val="24"/>
          <w:highlight w:val="none"/>
        </w:rPr>
        <w:t>第四条 承包的主要作业内容</w:t>
      </w:r>
    </w:p>
    <w:p w14:paraId="63654911">
      <w:pPr>
        <w:pStyle w:val="7"/>
        <w:keepNext w:val="0"/>
        <w:keepLines w:val="0"/>
        <w:pageBreakBefore w:val="0"/>
        <w:spacing w:before="150" w:after="75" w:line="288" w:lineRule="auto"/>
        <w:outlineLvl w:val="2"/>
        <w:rPr>
          <w:highlight w:val="none"/>
        </w:rPr>
      </w:pPr>
      <w:r>
        <w:rPr>
          <w:rFonts w:ascii="黑体" w:hAnsi="黑体" w:eastAsia="黑体" w:cs="黑体"/>
          <w:b/>
          <w:color w:val="000000"/>
          <w:sz w:val="24"/>
          <w:highlight w:val="none"/>
        </w:rPr>
        <w:t>(一) 清扫保洁服务内容</w:t>
      </w:r>
    </w:p>
    <w:p w14:paraId="17E13854">
      <w:pPr>
        <w:pStyle w:val="16"/>
        <w:numPr>
          <w:ilvl w:val="0"/>
          <w:numId w:val="9"/>
        </w:numPr>
        <w:spacing w:after="60" w:line="288" w:lineRule="auto"/>
        <w:ind w:left="960" w:hanging="360"/>
        <w:rPr>
          <w:highlight w:val="none"/>
        </w:rPr>
      </w:pPr>
      <w:r>
        <w:rPr>
          <w:rFonts w:ascii="仿宋_GB2312" w:hAnsi="仿宋_GB2312" w:eastAsia="仿宋_GB2312" w:cs="仿宋_GB2312"/>
          <w:color w:val="000000"/>
          <w:sz w:val="24"/>
          <w:highlight w:val="none"/>
        </w:rPr>
        <w:t>承包区域内所有市政道路红线内（含人行道、快慢行车道、绿化带等）的清扫、保洁、洒水、冲洗及清扫保洁产生垃圾的收集清运工作（含大件垃圾清运，除建筑垃圾外）。</w:t>
      </w:r>
    </w:p>
    <w:p w14:paraId="03F2C1A4">
      <w:pPr>
        <w:pStyle w:val="16"/>
        <w:numPr>
          <w:ilvl w:val="0"/>
          <w:numId w:val="9"/>
        </w:numPr>
        <w:spacing w:after="60" w:line="288" w:lineRule="auto"/>
        <w:ind w:left="960" w:hanging="360"/>
        <w:rPr>
          <w:highlight w:val="none"/>
        </w:rPr>
      </w:pPr>
      <w:r>
        <w:rPr>
          <w:rFonts w:ascii="仿宋_GB2312" w:hAnsi="仿宋_GB2312" w:eastAsia="仿宋_GB2312" w:cs="仿宋_GB2312"/>
          <w:color w:val="000000"/>
          <w:sz w:val="24"/>
          <w:highlight w:val="none"/>
        </w:rPr>
        <w:t>承包区域可视范围内的道路隔车带、公共绿地、树坑的环卫保洁、垃圾收集及野广告清理工作。</w:t>
      </w:r>
    </w:p>
    <w:p w14:paraId="44863672">
      <w:pPr>
        <w:pStyle w:val="16"/>
        <w:numPr>
          <w:ilvl w:val="0"/>
          <w:numId w:val="9"/>
        </w:numPr>
        <w:spacing w:after="60" w:line="288" w:lineRule="auto"/>
        <w:ind w:left="960" w:hanging="360"/>
        <w:rPr>
          <w:highlight w:val="none"/>
        </w:rPr>
      </w:pPr>
      <w:r>
        <w:rPr>
          <w:rFonts w:ascii="仿宋_GB2312" w:hAnsi="仿宋_GB2312" w:eastAsia="仿宋_GB2312" w:cs="仿宋_GB2312"/>
          <w:color w:val="000000"/>
          <w:sz w:val="24"/>
          <w:highlight w:val="none"/>
        </w:rPr>
        <w:t>承包区域内果皮箱、保洁工具箱、灭烟柱的保洁清洗及周边垃圾收集，道路可视范围内另行散落生活垃圾的收集，路牌、灯杆等市政设施的保洁、野广告清除等工作。</w:t>
      </w:r>
    </w:p>
    <w:p w14:paraId="6E6752FA">
      <w:pPr>
        <w:pStyle w:val="16"/>
        <w:numPr>
          <w:ilvl w:val="0"/>
          <w:numId w:val="9"/>
        </w:numPr>
        <w:spacing w:after="60" w:line="288" w:lineRule="auto"/>
        <w:ind w:left="960" w:hanging="360"/>
        <w:rPr>
          <w:highlight w:val="none"/>
        </w:rPr>
      </w:pPr>
      <w:r>
        <w:rPr>
          <w:rFonts w:ascii="仿宋_GB2312" w:hAnsi="仿宋_GB2312" w:eastAsia="仿宋_GB2312" w:cs="仿宋_GB2312"/>
          <w:color w:val="000000"/>
          <w:sz w:val="24"/>
          <w:highlight w:val="none"/>
        </w:rPr>
        <w:t>区域内冬季清雪除冰及后续清运处理工作。</w:t>
      </w:r>
    </w:p>
    <w:p w14:paraId="79D23512">
      <w:pPr>
        <w:pStyle w:val="16"/>
        <w:numPr>
          <w:ilvl w:val="0"/>
          <w:numId w:val="9"/>
        </w:numPr>
        <w:spacing w:after="60" w:line="288" w:lineRule="auto"/>
        <w:ind w:left="960" w:hanging="360"/>
        <w:rPr>
          <w:highlight w:val="none"/>
        </w:rPr>
      </w:pPr>
      <w:r>
        <w:rPr>
          <w:rFonts w:ascii="仿宋_GB2312" w:hAnsi="仿宋_GB2312" w:eastAsia="仿宋_GB2312" w:cs="仿宋_GB2312"/>
          <w:color w:val="000000"/>
          <w:sz w:val="24"/>
          <w:highlight w:val="none"/>
        </w:rPr>
        <w:t>清除因不可抗力造成的垃圾抛洒、暴雨洪水造成的积水垃圾等（包括交通事故）。</w:t>
      </w:r>
    </w:p>
    <w:p w14:paraId="661C1AEE">
      <w:pPr>
        <w:pStyle w:val="7"/>
        <w:keepNext w:val="0"/>
        <w:keepLines w:val="0"/>
        <w:pageBreakBefore w:val="0"/>
        <w:spacing w:before="150" w:after="75" w:line="288" w:lineRule="auto"/>
        <w:outlineLvl w:val="2"/>
        <w:rPr>
          <w:highlight w:val="none"/>
        </w:rPr>
      </w:pPr>
      <w:r>
        <w:rPr>
          <w:rFonts w:ascii="黑体" w:hAnsi="黑体" w:eastAsia="黑体" w:cs="黑体"/>
          <w:b/>
          <w:color w:val="000000"/>
          <w:sz w:val="24"/>
          <w:highlight w:val="none"/>
        </w:rPr>
        <w:t>(二) 公厕管理服务内容</w:t>
      </w:r>
    </w:p>
    <w:p w14:paraId="1D19FD8C">
      <w:pPr>
        <w:pStyle w:val="16"/>
        <w:numPr>
          <w:ilvl w:val="0"/>
          <w:numId w:val="10"/>
        </w:numPr>
        <w:spacing w:after="60" w:line="288" w:lineRule="auto"/>
        <w:ind w:left="960" w:hanging="360"/>
        <w:rPr>
          <w:highlight w:val="none"/>
        </w:rPr>
      </w:pPr>
      <w:r>
        <w:rPr>
          <w:rFonts w:ascii="仿宋_GB2312" w:hAnsi="仿宋_GB2312" w:eastAsia="仿宋_GB2312" w:cs="仿宋_GB2312"/>
          <w:color w:val="000000"/>
          <w:sz w:val="24"/>
          <w:highlight w:val="none"/>
        </w:rPr>
        <w:t>区域内公共卫生间的全流程管理工作，包含看护、保洁、消毒、小型维修养护、清污、水电费缴纳、设备定期巡检等。</w:t>
      </w:r>
    </w:p>
    <w:p w14:paraId="135ABEE0">
      <w:pPr>
        <w:pStyle w:val="16"/>
        <w:numPr>
          <w:ilvl w:val="0"/>
          <w:numId w:val="10"/>
        </w:numPr>
        <w:spacing w:after="60" w:line="288" w:lineRule="auto"/>
        <w:ind w:left="960" w:hanging="360"/>
        <w:rPr>
          <w:highlight w:val="none"/>
        </w:rPr>
      </w:pPr>
      <w:r>
        <w:rPr>
          <w:rFonts w:ascii="仿宋_GB2312" w:hAnsi="仿宋_GB2312" w:eastAsia="仿宋_GB2312" w:cs="仿宋_GB2312"/>
          <w:color w:val="000000"/>
          <w:sz w:val="24"/>
          <w:highlight w:val="none"/>
        </w:rPr>
        <w:t>数字化城管等相关投诉的响应与处理。</w:t>
      </w:r>
    </w:p>
    <w:p w14:paraId="2F31FD8E">
      <w:pPr>
        <w:pStyle w:val="16"/>
        <w:numPr>
          <w:ilvl w:val="0"/>
          <w:numId w:val="10"/>
        </w:numPr>
        <w:spacing w:after="60" w:line="288" w:lineRule="auto"/>
        <w:ind w:left="960" w:hanging="360"/>
        <w:rPr>
          <w:highlight w:val="none"/>
        </w:rPr>
      </w:pPr>
      <w:r>
        <w:rPr>
          <w:rFonts w:ascii="仿宋_GB2312" w:hAnsi="仿宋_GB2312" w:eastAsia="仿宋_GB2312" w:cs="仿宋_GB2312"/>
          <w:color w:val="000000"/>
          <w:sz w:val="24"/>
          <w:highlight w:val="none"/>
        </w:rPr>
        <w:t>贯彻落实高新区“厕所革命”、“效能革命”、“以克论净”、“治污减霾”等工作的相关要求，严格执行公厕卫生管理标准，确保无异味、无污渍、设施完好。</w:t>
      </w:r>
    </w:p>
    <w:p w14:paraId="0256DB36">
      <w:pPr>
        <w:pStyle w:val="16"/>
        <w:numPr>
          <w:ilvl w:val="0"/>
          <w:numId w:val="10"/>
        </w:numPr>
        <w:spacing w:after="60" w:line="288" w:lineRule="auto"/>
        <w:ind w:left="960" w:hanging="360"/>
        <w:rPr>
          <w:highlight w:val="none"/>
        </w:rPr>
      </w:pPr>
      <w:r>
        <w:rPr>
          <w:rFonts w:ascii="仿宋_GB2312" w:hAnsi="仿宋_GB2312" w:eastAsia="仿宋_GB2312" w:cs="仿宋_GB2312"/>
          <w:color w:val="000000"/>
          <w:sz w:val="24"/>
          <w:highlight w:val="none"/>
        </w:rPr>
        <w:t>公厕开放时间严格按照高新区统一规定执行，特殊时段需配合甲方要求延长开放时间。</w:t>
      </w:r>
    </w:p>
    <w:p w14:paraId="698F4731">
      <w:pPr>
        <w:pStyle w:val="7"/>
        <w:keepNext w:val="0"/>
        <w:keepLines w:val="0"/>
        <w:pageBreakBefore w:val="0"/>
        <w:spacing w:before="150" w:after="75" w:line="288" w:lineRule="auto"/>
        <w:outlineLvl w:val="2"/>
        <w:rPr>
          <w:highlight w:val="none"/>
        </w:rPr>
      </w:pPr>
      <w:r>
        <w:rPr>
          <w:rFonts w:ascii="黑体" w:hAnsi="黑体" w:eastAsia="黑体" w:cs="黑体"/>
          <w:b/>
          <w:color w:val="000000"/>
          <w:sz w:val="24"/>
          <w:highlight w:val="none"/>
        </w:rPr>
        <w:t>(三) 绿化养护服务内容</w:t>
      </w:r>
    </w:p>
    <w:p w14:paraId="065AC412">
      <w:pPr>
        <w:pStyle w:val="16"/>
        <w:numPr>
          <w:ilvl w:val="0"/>
          <w:numId w:val="11"/>
        </w:numPr>
        <w:spacing w:after="60" w:line="288" w:lineRule="auto"/>
        <w:ind w:left="960" w:hanging="360"/>
        <w:rPr>
          <w:highlight w:val="none"/>
        </w:rPr>
      </w:pPr>
      <w:r>
        <w:rPr>
          <w:rFonts w:ascii="仿宋_GB2312" w:hAnsi="仿宋_GB2312" w:eastAsia="仿宋_GB2312" w:cs="仿宋_GB2312"/>
          <w:color w:val="000000"/>
          <w:sz w:val="24"/>
          <w:highlight w:val="none"/>
        </w:rPr>
        <w:t>承包区域内绿化植物的浇水、施肥、修剪、整形、除杂草、苗木补植、病虫害防治、病媒防治、松土、高台土清理（按照规定落土低于道牙10cm）、绿地植物冲洗、绿地清掏（冲洗清掏符合治污减霾要求）及保洁、绿化养护作业产生的垃圾清理。</w:t>
      </w:r>
    </w:p>
    <w:p w14:paraId="75E69154">
      <w:pPr>
        <w:pStyle w:val="16"/>
        <w:numPr>
          <w:ilvl w:val="0"/>
          <w:numId w:val="11"/>
        </w:numPr>
        <w:spacing w:after="60" w:line="288" w:lineRule="auto"/>
        <w:ind w:left="960" w:hanging="360"/>
        <w:rPr>
          <w:highlight w:val="none"/>
        </w:rPr>
      </w:pPr>
      <w:r>
        <w:rPr>
          <w:rFonts w:ascii="仿宋_GB2312" w:hAnsi="仿宋_GB2312" w:eastAsia="仿宋_GB2312" w:cs="仿宋_GB2312"/>
          <w:color w:val="000000"/>
          <w:sz w:val="24"/>
          <w:highlight w:val="none"/>
        </w:rPr>
        <w:t>承包区域内绿化公共设施的维护与保养。</w:t>
      </w:r>
    </w:p>
    <w:p w14:paraId="5392DE56">
      <w:pPr>
        <w:pStyle w:val="16"/>
        <w:numPr>
          <w:ilvl w:val="0"/>
          <w:numId w:val="11"/>
        </w:numPr>
        <w:spacing w:after="60" w:line="288" w:lineRule="auto"/>
        <w:ind w:left="960" w:hanging="360"/>
        <w:rPr>
          <w:highlight w:val="none"/>
        </w:rPr>
      </w:pPr>
      <w:r>
        <w:rPr>
          <w:rFonts w:ascii="仿宋_GB2312" w:hAnsi="仿宋_GB2312" w:eastAsia="仿宋_GB2312" w:cs="仿宋_GB2312"/>
          <w:color w:val="000000"/>
          <w:sz w:val="24"/>
          <w:highlight w:val="none"/>
        </w:rPr>
        <w:t>数字化城管、路长制相关工作，河长制相关工作，治污减霾相关工作，病媒防治工作，数字化投诉、12345市民热线投诉的处理等。</w:t>
      </w:r>
    </w:p>
    <w:p w14:paraId="61404A07">
      <w:pPr>
        <w:pStyle w:val="16"/>
        <w:numPr>
          <w:ilvl w:val="0"/>
          <w:numId w:val="11"/>
        </w:numPr>
        <w:spacing w:after="60" w:line="288" w:lineRule="auto"/>
        <w:ind w:left="960" w:hanging="360"/>
        <w:rPr>
          <w:highlight w:val="none"/>
        </w:rPr>
      </w:pPr>
      <w:r>
        <w:rPr>
          <w:rFonts w:ascii="仿宋_GB2312" w:hAnsi="仿宋_GB2312" w:eastAsia="仿宋_GB2312" w:cs="仿宋_GB2312"/>
          <w:color w:val="000000"/>
          <w:sz w:val="24"/>
          <w:highlight w:val="none"/>
        </w:rPr>
        <w:t>采取相应养护措施维护现有绿化苗木长势良好，并保障区域内道路绿化区域不出现缺株断垄、死苗留置、黄土裸露等现象。</w:t>
      </w:r>
    </w:p>
    <w:p w14:paraId="3DA621BD">
      <w:pPr>
        <w:pStyle w:val="16"/>
        <w:numPr>
          <w:ilvl w:val="0"/>
          <w:numId w:val="11"/>
        </w:numPr>
        <w:spacing w:after="60" w:line="288" w:lineRule="auto"/>
        <w:ind w:left="960" w:hanging="360"/>
        <w:rPr>
          <w:highlight w:val="none"/>
        </w:rPr>
      </w:pPr>
      <w:r>
        <w:rPr>
          <w:rFonts w:ascii="仿宋_GB2312" w:hAnsi="仿宋_GB2312" w:eastAsia="仿宋_GB2312" w:cs="仿宋_GB2312"/>
          <w:color w:val="000000"/>
          <w:sz w:val="24"/>
          <w:highlight w:val="none"/>
        </w:rPr>
        <w:t>冬季清除积雪积冰工作，夏季抗旱防汛工作，冬季落叶清掏、落土、修剪、冬灌工作。</w:t>
      </w:r>
    </w:p>
    <w:p w14:paraId="33FB0E33">
      <w:pPr>
        <w:pStyle w:val="16"/>
        <w:numPr>
          <w:ilvl w:val="0"/>
          <w:numId w:val="11"/>
        </w:numPr>
        <w:spacing w:after="60" w:line="288" w:lineRule="auto"/>
        <w:ind w:left="960" w:hanging="360"/>
        <w:rPr>
          <w:highlight w:val="none"/>
        </w:rPr>
      </w:pPr>
      <w:r>
        <w:rPr>
          <w:rFonts w:ascii="仿宋_GB2312" w:hAnsi="仿宋_GB2312" w:eastAsia="仿宋_GB2312" w:cs="仿宋_GB2312"/>
          <w:color w:val="000000"/>
          <w:sz w:val="24"/>
          <w:highlight w:val="none"/>
        </w:rPr>
        <w:t>清除整理因不可抗力造成的倒树、断枝、垃圾抛洒、暴雨洪水造成的积水垃圾等（包括交通事故）。</w:t>
      </w:r>
    </w:p>
    <w:p w14:paraId="33A41F6E">
      <w:pPr>
        <w:pStyle w:val="16"/>
        <w:numPr>
          <w:ilvl w:val="0"/>
          <w:numId w:val="11"/>
        </w:numPr>
        <w:spacing w:after="60" w:line="288" w:lineRule="auto"/>
        <w:ind w:left="960" w:hanging="360"/>
        <w:rPr>
          <w:highlight w:val="none"/>
        </w:rPr>
      </w:pPr>
      <w:r>
        <w:rPr>
          <w:rFonts w:ascii="仿宋_GB2312" w:hAnsi="仿宋_GB2312" w:eastAsia="仿宋_GB2312" w:cs="仿宋_GB2312"/>
          <w:color w:val="000000"/>
          <w:sz w:val="24"/>
          <w:highlight w:val="none"/>
        </w:rPr>
        <w:t>甲方安排的其它临时性绿化相关工作。</w:t>
      </w:r>
    </w:p>
    <w:p w14:paraId="5CC1EA06">
      <w:pPr>
        <w:pStyle w:val="7"/>
        <w:keepNext w:val="0"/>
        <w:keepLines w:val="0"/>
        <w:pageBreakBefore w:val="0"/>
        <w:spacing w:before="150" w:after="75" w:line="288" w:lineRule="auto"/>
        <w:outlineLvl w:val="2"/>
        <w:rPr>
          <w:highlight w:val="none"/>
        </w:rPr>
      </w:pPr>
      <w:r>
        <w:rPr>
          <w:rFonts w:ascii="黑体" w:hAnsi="黑体" w:eastAsia="黑体" w:cs="黑体"/>
          <w:b/>
          <w:color w:val="000000"/>
          <w:sz w:val="24"/>
          <w:highlight w:val="none"/>
        </w:rPr>
        <w:t>(四) 垃圾清运服务内容</w:t>
      </w:r>
    </w:p>
    <w:p w14:paraId="4BA10AE1">
      <w:pPr>
        <w:pStyle w:val="16"/>
        <w:numPr>
          <w:ilvl w:val="0"/>
          <w:numId w:val="12"/>
        </w:numPr>
        <w:spacing w:after="60" w:line="288" w:lineRule="auto"/>
        <w:ind w:left="960" w:hanging="360"/>
        <w:rPr>
          <w:rFonts w:ascii="仿宋_GB2312" w:hAnsi="仿宋_GB2312" w:eastAsia="仿宋_GB2312" w:cs="仿宋_GB2312"/>
          <w:color w:val="000000"/>
          <w:sz w:val="24"/>
          <w:highlight w:val="none"/>
        </w:rPr>
      </w:pPr>
      <w:r>
        <w:rPr>
          <w:rFonts w:hint="default" w:ascii="仿宋_GB2312" w:hAnsi="仿宋_GB2312" w:eastAsia="仿宋_GB2312" w:cs="仿宋_GB2312"/>
          <w:color w:val="000000"/>
          <w:sz w:val="24"/>
          <w:highlight w:val="none"/>
        </w:rPr>
        <w:t>为保障本项目常态化稳定运行，项目作业所需环卫车辆配置标准不低于以下要求：中型垃圾压缩车</w:t>
      </w:r>
      <w:r>
        <w:rPr>
          <w:rFonts w:hint="eastAsia" w:ascii="仿宋_GB2312" w:hAnsi="仿宋_GB2312" w:eastAsia="仿宋_GB2312" w:cs="仿宋_GB2312"/>
          <w:color w:val="000000"/>
          <w:sz w:val="24"/>
          <w:highlight w:val="none"/>
          <w:u w:val="single"/>
          <w:lang w:val="en-US" w:eastAsia="zh-CN"/>
        </w:rPr>
        <w:t xml:space="preserve">       </w:t>
      </w:r>
      <w:r>
        <w:rPr>
          <w:rFonts w:hint="default" w:ascii="仿宋_GB2312" w:hAnsi="仿宋_GB2312" w:eastAsia="仿宋_GB2312" w:cs="仿宋_GB2312"/>
          <w:color w:val="000000"/>
          <w:sz w:val="24"/>
          <w:highlight w:val="none"/>
        </w:rPr>
        <w:t>台、洒水车</w:t>
      </w:r>
      <w:r>
        <w:rPr>
          <w:rFonts w:hint="eastAsia" w:ascii="仿宋_GB2312" w:hAnsi="仿宋_GB2312" w:eastAsia="仿宋_GB2312" w:cs="仿宋_GB2312"/>
          <w:color w:val="000000"/>
          <w:sz w:val="24"/>
          <w:highlight w:val="none"/>
          <w:u w:val="single"/>
          <w:lang w:val="en-US" w:eastAsia="zh-CN"/>
        </w:rPr>
        <w:t xml:space="preserve">     </w:t>
      </w:r>
      <w:r>
        <w:rPr>
          <w:rFonts w:hint="default" w:ascii="仿宋_GB2312" w:hAnsi="仿宋_GB2312" w:eastAsia="仿宋_GB2312" w:cs="仿宋_GB2312"/>
          <w:color w:val="000000"/>
          <w:sz w:val="24"/>
          <w:highlight w:val="none"/>
        </w:rPr>
        <w:t>台、扫地车</w:t>
      </w:r>
      <w:r>
        <w:rPr>
          <w:rFonts w:hint="eastAsia" w:ascii="仿宋_GB2312" w:hAnsi="仿宋_GB2312" w:eastAsia="仿宋_GB2312" w:cs="仿宋_GB2312"/>
          <w:color w:val="000000"/>
          <w:sz w:val="24"/>
          <w:highlight w:val="none"/>
          <w:u w:val="single"/>
          <w:lang w:val="en-US" w:eastAsia="zh-CN"/>
        </w:rPr>
        <w:t xml:space="preserve">     </w:t>
      </w:r>
      <w:r>
        <w:rPr>
          <w:rFonts w:hint="default" w:ascii="仿宋_GB2312" w:hAnsi="仿宋_GB2312" w:eastAsia="仿宋_GB2312" w:cs="仿宋_GB2312"/>
          <w:color w:val="000000"/>
          <w:sz w:val="24"/>
          <w:highlight w:val="none"/>
        </w:rPr>
        <w:t>台、电动垃圾转运车</w:t>
      </w:r>
      <w:r>
        <w:rPr>
          <w:rFonts w:hint="eastAsia" w:ascii="仿宋_GB2312" w:hAnsi="仿宋_GB2312" w:eastAsia="仿宋_GB2312" w:cs="仿宋_GB2312"/>
          <w:color w:val="000000"/>
          <w:sz w:val="24"/>
          <w:highlight w:val="none"/>
          <w:u w:val="single"/>
          <w:lang w:val="en-US" w:eastAsia="zh-CN"/>
        </w:rPr>
        <w:t xml:space="preserve">      </w:t>
      </w:r>
      <w:r>
        <w:rPr>
          <w:rFonts w:hint="default" w:ascii="仿宋_GB2312" w:hAnsi="仿宋_GB2312" w:eastAsia="仿宋_GB2312" w:cs="仿宋_GB2312"/>
          <w:color w:val="000000"/>
          <w:sz w:val="24"/>
          <w:highlight w:val="none"/>
        </w:rPr>
        <w:t>台、勾臂车</w:t>
      </w:r>
      <w:r>
        <w:rPr>
          <w:rFonts w:hint="eastAsia" w:ascii="仿宋_GB2312" w:hAnsi="仿宋_GB2312" w:eastAsia="仿宋_GB2312" w:cs="仿宋_GB2312"/>
          <w:i/>
          <w:iCs/>
          <w:color w:val="000000"/>
          <w:sz w:val="24"/>
          <w:highlight w:val="none"/>
          <w:u w:val="single"/>
          <w:lang w:val="en-US" w:eastAsia="zh-CN"/>
        </w:rPr>
        <w:t xml:space="preserve">       </w:t>
      </w:r>
      <w:r>
        <w:rPr>
          <w:rFonts w:hint="default" w:ascii="仿宋_GB2312" w:hAnsi="仿宋_GB2312" w:eastAsia="仿宋_GB2312" w:cs="仿宋_GB2312"/>
          <w:color w:val="000000"/>
          <w:sz w:val="24"/>
          <w:highlight w:val="none"/>
        </w:rPr>
        <w:t>台、扫雪车</w:t>
      </w:r>
      <w:r>
        <w:rPr>
          <w:rFonts w:hint="eastAsia" w:ascii="仿宋_GB2312" w:hAnsi="仿宋_GB2312" w:eastAsia="仿宋_GB2312" w:cs="仿宋_GB2312"/>
          <w:color w:val="000000"/>
          <w:sz w:val="24"/>
          <w:highlight w:val="none"/>
          <w:u w:val="single"/>
          <w:lang w:val="en-US" w:eastAsia="zh-CN"/>
        </w:rPr>
        <w:t xml:space="preserve">      </w:t>
      </w:r>
      <w:r>
        <w:rPr>
          <w:rFonts w:hint="default" w:ascii="仿宋_GB2312" w:hAnsi="仿宋_GB2312" w:eastAsia="仿宋_GB2312" w:cs="仿宋_GB2312"/>
          <w:color w:val="000000"/>
          <w:sz w:val="24"/>
          <w:highlight w:val="none"/>
        </w:rPr>
        <w:t>台。上述所有车辆在项目运营期间产生的全部相关费用均由中标方承担</w:t>
      </w:r>
      <w:r>
        <w:rPr>
          <w:rFonts w:hint="eastAsia" w:ascii="仿宋_GB2312" w:hAnsi="仿宋_GB2312" w:eastAsia="仿宋_GB2312" w:cs="仿宋_GB2312"/>
          <w:color w:val="000000"/>
          <w:sz w:val="24"/>
          <w:highlight w:val="none"/>
          <w:lang w:eastAsia="zh-CN"/>
        </w:rPr>
        <w:t>。包括但不限于：能源消耗类费用：燃油费、充电费；日常运维类费用：车辆日常清洗及保洁水电费、定期保养费、故障维修费、低值易耗配件更换费、车载智能设备（含GPS定位、清运监控系统等）运维费、车辆折旧费用；保险及合规类费用：交强险、商业险（含第三者责任险、车损险、车上人员责任险等）、车辆年检费、环保检测费、道路通行费（含高速费、过桥过路费）；场地及管理类费用：合法停靠场地租赁费、停车费、车辆运营管理费；风险及处罚类费用：交通违章罚款、因车辆自身原因导致的各类行政罚金、交通事故产生的全部责任费用（含人员伤亡赔偿、财产损失、施救费、鉴定费、诉讼仲裁费等）。</w:t>
      </w:r>
    </w:p>
    <w:p w14:paraId="6D7D41BC">
      <w:pPr>
        <w:pStyle w:val="16"/>
        <w:numPr>
          <w:ilvl w:val="0"/>
          <w:numId w:val="12"/>
        </w:numPr>
        <w:spacing w:after="60" w:line="288" w:lineRule="auto"/>
        <w:ind w:left="960" w:hanging="360"/>
        <w:rPr>
          <w:highlight w:val="none"/>
        </w:rPr>
      </w:pPr>
      <w:r>
        <w:rPr>
          <w:rFonts w:ascii="仿宋_GB2312" w:hAnsi="仿宋_GB2312" w:eastAsia="仿宋_GB2312" w:cs="仿宋_GB2312"/>
          <w:color w:val="000000"/>
          <w:sz w:val="24"/>
          <w:highlight w:val="none"/>
        </w:rPr>
        <w:t>承包区域内所有生活垃圾、餐厨垃圾、可回收物、有害垃圾的分类收集、密闭运输、规范处置工作，严格执行垃圾分类运输要求，杜绝混装混运。</w:t>
      </w:r>
    </w:p>
    <w:p w14:paraId="5009F8F4">
      <w:pPr>
        <w:pStyle w:val="16"/>
        <w:numPr>
          <w:ilvl w:val="0"/>
          <w:numId w:val="12"/>
        </w:numPr>
        <w:spacing w:after="60" w:line="288" w:lineRule="auto"/>
        <w:ind w:left="960" w:hanging="360"/>
        <w:rPr>
          <w:highlight w:val="none"/>
        </w:rPr>
      </w:pPr>
      <w:r>
        <w:rPr>
          <w:rFonts w:ascii="仿宋_GB2312" w:hAnsi="仿宋_GB2312" w:eastAsia="仿宋_GB2312" w:cs="仿宋_GB2312"/>
          <w:color w:val="000000"/>
          <w:sz w:val="24"/>
          <w:highlight w:val="none"/>
        </w:rPr>
        <w:t>承包区域内垃圾中转站的日常运维、保洁、消毒工作，确保中转站无异味、无渗滤液泄露、周边环境整洁。</w:t>
      </w:r>
    </w:p>
    <w:p w14:paraId="1FC4F603">
      <w:pPr>
        <w:pStyle w:val="16"/>
        <w:numPr>
          <w:ilvl w:val="0"/>
          <w:numId w:val="12"/>
        </w:numPr>
        <w:spacing w:after="60" w:line="288" w:lineRule="auto"/>
        <w:ind w:left="960" w:hanging="360"/>
        <w:rPr>
          <w:highlight w:val="none"/>
        </w:rPr>
      </w:pPr>
      <w:r>
        <w:rPr>
          <w:rFonts w:ascii="仿宋_GB2312" w:hAnsi="仿宋_GB2312" w:eastAsia="仿宋_GB2312" w:cs="仿宋_GB2312"/>
          <w:color w:val="000000"/>
          <w:sz w:val="24"/>
          <w:highlight w:val="none"/>
        </w:rPr>
        <w:t>建立垃圾清运台账，详细记录每日清运路线、清运量、处置地点等信息，每月向甲方报送清运统计报表。</w:t>
      </w:r>
    </w:p>
    <w:p w14:paraId="3D346F64">
      <w:pPr>
        <w:pStyle w:val="16"/>
        <w:numPr>
          <w:ilvl w:val="0"/>
          <w:numId w:val="12"/>
        </w:numPr>
        <w:spacing w:after="60" w:line="288" w:lineRule="auto"/>
        <w:ind w:left="960" w:hanging="360"/>
        <w:rPr>
          <w:highlight w:val="none"/>
        </w:rPr>
      </w:pPr>
      <w:r>
        <w:rPr>
          <w:rFonts w:ascii="仿宋_GB2312" w:hAnsi="仿宋_GB2312" w:eastAsia="仿宋_GB2312" w:cs="仿宋_GB2312"/>
          <w:color w:val="000000"/>
          <w:sz w:val="24"/>
          <w:highlight w:val="none"/>
        </w:rPr>
        <w:t>配合甲方开展垃圾分类宣传、引导工作，协助开展垃圾分类督导检查。</w:t>
      </w:r>
    </w:p>
    <w:p w14:paraId="767DC2FF">
      <w:pPr>
        <w:pStyle w:val="16"/>
        <w:numPr>
          <w:ilvl w:val="0"/>
          <w:numId w:val="12"/>
        </w:numPr>
        <w:spacing w:after="60" w:line="288" w:lineRule="auto"/>
        <w:ind w:left="960" w:hanging="360"/>
        <w:rPr>
          <w:highlight w:val="none"/>
        </w:rPr>
      </w:pPr>
      <w:r>
        <w:rPr>
          <w:rFonts w:ascii="仿宋_GB2312" w:hAnsi="仿宋_GB2312" w:eastAsia="仿宋_GB2312" w:cs="仿宋_GB2312"/>
          <w:color w:val="000000"/>
          <w:sz w:val="24"/>
          <w:highlight w:val="none"/>
        </w:rPr>
        <w:t>负责清运车辆的日常维护、保洁，确保车容车貌整洁，运输过程无抛洒滴漏。</w:t>
      </w:r>
    </w:p>
    <w:p w14:paraId="778931F0">
      <w:pPr>
        <w:pStyle w:val="16"/>
        <w:numPr>
          <w:ilvl w:val="0"/>
          <w:numId w:val="12"/>
        </w:numPr>
        <w:spacing w:after="60" w:line="288" w:lineRule="auto"/>
        <w:ind w:left="960" w:hanging="360"/>
        <w:rPr>
          <w:highlight w:val="none"/>
        </w:rPr>
      </w:pPr>
      <w:r>
        <w:rPr>
          <w:rFonts w:ascii="仿宋_GB2312" w:hAnsi="仿宋_GB2312" w:eastAsia="仿宋_GB2312" w:cs="仿宋_GB2312"/>
          <w:color w:val="000000"/>
          <w:sz w:val="24"/>
          <w:highlight w:val="none"/>
        </w:rPr>
        <w:t>应急清运保障：在重大活动、节假日、突发公共卫生事件等特殊时段，根据甲方要求增加清运频次，保障垃圾日产日清。</w:t>
      </w:r>
    </w:p>
    <w:p w14:paraId="228DD83F">
      <w:pPr>
        <w:spacing w:after="90" w:line="288" w:lineRule="auto"/>
        <w:ind w:firstLine="480"/>
        <w:jc w:val="both"/>
        <w:rPr>
          <w:highlight w:val="none"/>
        </w:rPr>
      </w:pPr>
      <w:r>
        <w:rPr>
          <w:rFonts w:ascii="仿宋_GB2312" w:hAnsi="仿宋_GB2312" w:eastAsia="仿宋_GB2312" w:cs="仿宋_GB2312"/>
          <w:b/>
          <w:color w:val="000000"/>
          <w:sz w:val="24"/>
          <w:highlight w:val="none"/>
        </w:rPr>
        <w:t>第</w:t>
      </w:r>
      <w:r>
        <w:rPr>
          <w:rFonts w:hint="eastAsia" w:ascii="仿宋_GB2312" w:hAnsi="仿宋_GB2312" w:eastAsia="仿宋_GB2312" w:cs="仿宋_GB2312"/>
          <w:b/>
          <w:color w:val="000000"/>
          <w:sz w:val="24"/>
          <w:highlight w:val="none"/>
          <w:lang w:val="en-US" w:eastAsia="zh-CN"/>
        </w:rPr>
        <w:t>五</w:t>
      </w:r>
      <w:r>
        <w:rPr>
          <w:rFonts w:ascii="仿宋_GB2312" w:hAnsi="仿宋_GB2312" w:eastAsia="仿宋_GB2312" w:cs="仿宋_GB2312"/>
          <w:b/>
          <w:color w:val="000000"/>
          <w:sz w:val="24"/>
          <w:highlight w:val="none"/>
        </w:rPr>
        <w:t>条 承包费用的结算依据和付款办法</w:t>
      </w:r>
    </w:p>
    <w:p w14:paraId="1D4D87C4">
      <w:pPr>
        <w:pStyle w:val="16"/>
        <w:numPr>
          <w:ilvl w:val="0"/>
          <w:numId w:val="13"/>
        </w:numPr>
        <w:spacing w:after="60" w:line="288" w:lineRule="auto"/>
        <w:ind w:left="960" w:hanging="360"/>
        <w:rPr>
          <w:highlight w:val="none"/>
        </w:rPr>
      </w:pPr>
      <w:r>
        <w:rPr>
          <w:rFonts w:ascii="仿宋_GB2312" w:hAnsi="仿宋_GB2312" w:eastAsia="仿宋_GB2312" w:cs="仿宋_GB2312"/>
          <w:color w:val="000000"/>
          <w:sz w:val="24"/>
          <w:highlight w:val="none"/>
        </w:rPr>
        <w:t>结算依据：道路清扫保洁的质量标准、绿化养护管理标准、公厕管理标准、垃圾清运服务标准及工作程序、考核打分、评分结果作为当月付款结算的依据。</w:t>
      </w:r>
    </w:p>
    <w:p w14:paraId="41DF4A7A">
      <w:pPr>
        <w:pStyle w:val="16"/>
        <w:numPr>
          <w:ilvl w:val="0"/>
          <w:numId w:val="13"/>
        </w:numPr>
        <w:spacing w:after="60" w:line="288" w:lineRule="auto"/>
        <w:ind w:left="960" w:hanging="360"/>
        <w:rPr>
          <w:highlight w:val="none"/>
        </w:rPr>
      </w:pPr>
      <w:r>
        <w:rPr>
          <w:rFonts w:ascii="仿宋_GB2312" w:hAnsi="仿宋_GB2312" w:eastAsia="仿宋_GB2312" w:cs="仿宋_GB2312"/>
          <w:color w:val="000000"/>
          <w:sz w:val="24"/>
          <w:highlight w:val="none"/>
        </w:rPr>
        <w:t>结算方式：合同款按月支付，当月承包费用考核完毕后，次月办理支付手续。</w:t>
      </w:r>
    </w:p>
    <w:p w14:paraId="381AC2DA">
      <w:pPr>
        <w:pStyle w:val="16"/>
        <w:numPr>
          <w:ilvl w:val="0"/>
          <w:numId w:val="13"/>
        </w:numPr>
        <w:spacing w:after="60" w:line="288" w:lineRule="auto"/>
        <w:ind w:left="960" w:hanging="360"/>
        <w:rPr>
          <w:highlight w:val="none"/>
        </w:rPr>
      </w:pPr>
      <w:r>
        <w:rPr>
          <w:rFonts w:ascii="仿宋_GB2312" w:hAnsi="仿宋_GB2312" w:eastAsia="仿宋_GB2312" w:cs="仿宋_GB2312"/>
          <w:color w:val="000000"/>
          <w:sz w:val="24"/>
          <w:highlight w:val="none"/>
        </w:rPr>
        <w:t>每月初根据上月考核得分和</w:t>
      </w:r>
      <w:r>
        <w:rPr>
          <w:rFonts w:hint="eastAsia" w:ascii="仿宋_GB2312" w:hAnsi="仿宋_GB2312" w:eastAsia="仿宋_GB2312" w:cs="仿宋_GB2312"/>
          <w:color w:val="000000"/>
          <w:sz w:val="24"/>
          <w:highlight w:val="none"/>
          <w:lang w:val="en-US" w:eastAsia="zh-CN"/>
        </w:rPr>
        <w:t>相关考核办法</w:t>
      </w:r>
      <w:r>
        <w:rPr>
          <w:rFonts w:ascii="仿宋_GB2312" w:hAnsi="仿宋_GB2312" w:eastAsia="仿宋_GB2312" w:cs="仿宋_GB2312"/>
          <w:color w:val="000000"/>
          <w:sz w:val="24"/>
          <w:highlight w:val="none"/>
        </w:rPr>
        <w:t>计算应付合同价款。对于新增加的服务内容或面积，以市政管理部门移交单或变更单为依据，由草堂街办、承包公司双方项目管理主要负责人现场共同实测签字确认，核定增加的人员数量，最终以双方共同签字同意并按本合同约定单价追加承包费用，详见每月“费用结算单”并予以注明。</w:t>
      </w:r>
    </w:p>
    <w:p w14:paraId="035F2A85">
      <w:pPr>
        <w:pStyle w:val="16"/>
        <w:numPr>
          <w:ilvl w:val="0"/>
          <w:numId w:val="13"/>
        </w:numPr>
        <w:spacing w:after="60" w:line="288" w:lineRule="auto"/>
        <w:ind w:left="960" w:hanging="360"/>
        <w:rPr>
          <w:highlight w:val="none"/>
        </w:rPr>
      </w:pPr>
      <w:r>
        <w:rPr>
          <w:rFonts w:ascii="仿宋_GB2312" w:hAnsi="仿宋_GB2312" w:eastAsia="仿宋_GB2312" w:cs="仿宋_GB2312"/>
          <w:color w:val="000000"/>
          <w:sz w:val="24"/>
          <w:highlight w:val="none"/>
        </w:rPr>
        <w:t>乙方单位根据结算单金额开具合法的正式发票交西安高新区草堂街办办理结算手续，由草堂街办负责支付。</w:t>
      </w:r>
    </w:p>
    <w:p w14:paraId="767E85D0">
      <w:pPr>
        <w:pStyle w:val="6"/>
        <w:keepNext w:val="0"/>
        <w:keepLines w:val="0"/>
        <w:pageBreakBefore w:val="0"/>
        <w:spacing w:before="187" w:after="112" w:line="288" w:lineRule="auto"/>
        <w:outlineLvl w:val="1"/>
        <w:rPr>
          <w:highlight w:val="none"/>
        </w:rPr>
      </w:pPr>
      <w:r>
        <w:rPr>
          <w:rFonts w:ascii="黑体" w:hAnsi="黑体" w:eastAsia="黑体" w:cs="黑体"/>
          <w:b/>
          <w:color w:val="000000"/>
          <w:sz w:val="27"/>
          <w:highlight w:val="none"/>
        </w:rPr>
        <w:t>第三章 甲方的权利与义务</w:t>
      </w:r>
    </w:p>
    <w:p w14:paraId="7EA0E559">
      <w:pPr>
        <w:spacing w:after="90" w:line="288" w:lineRule="auto"/>
        <w:ind w:firstLine="480"/>
        <w:jc w:val="both"/>
        <w:rPr>
          <w:highlight w:val="none"/>
        </w:rPr>
      </w:pPr>
      <w:r>
        <w:rPr>
          <w:rFonts w:ascii="仿宋_GB2312" w:hAnsi="仿宋_GB2312" w:eastAsia="仿宋_GB2312" w:cs="仿宋_GB2312"/>
          <w:b/>
          <w:color w:val="000000"/>
          <w:sz w:val="24"/>
          <w:highlight w:val="none"/>
        </w:rPr>
        <w:t>第七条 甲方的权利如下</w:t>
      </w:r>
    </w:p>
    <w:p w14:paraId="0D20DF08">
      <w:pPr>
        <w:pStyle w:val="16"/>
        <w:numPr>
          <w:ilvl w:val="0"/>
          <w:numId w:val="14"/>
        </w:numPr>
        <w:spacing w:after="60" w:line="288" w:lineRule="auto"/>
        <w:ind w:left="960" w:hanging="360"/>
        <w:rPr>
          <w:highlight w:val="none"/>
        </w:rPr>
      </w:pPr>
      <w:r>
        <w:rPr>
          <w:rFonts w:ascii="仿宋_GB2312" w:hAnsi="仿宋_GB2312" w:eastAsia="仿宋_GB2312" w:cs="仿宋_GB2312"/>
          <w:color w:val="000000"/>
          <w:sz w:val="24"/>
          <w:highlight w:val="none"/>
        </w:rPr>
        <w:t>甲方有权根据省、市上级相关规定，及时修订考核标准，按考核结算承包费用。</w:t>
      </w:r>
    </w:p>
    <w:p w14:paraId="4AA84938">
      <w:pPr>
        <w:pStyle w:val="16"/>
        <w:numPr>
          <w:ilvl w:val="0"/>
          <w:numId w:val="14"/>
        </w:numPr>
        <w:spacing w:after="60" w:line="288" w:lineRule="auto"/>
        <w:ind w:left="960" w:hanging="360"/>
        <w:rPr>
          <w:highlight w:val="none"/>
        </w:rPr>
      </w:pPr>
      <w:r>
        <w:rPr>
          <w:rFonts w:ascii="仿宋_GB2312" w:hAnsi="仿宋_GB2312" w:eastAsia="仿宋_GB2312" w:cs="仿宋_GB2312"/>
          <w:color w:val="000000"/>
          <w:sz w:val="24"/>
          <w:highlight w:val="none"/>
        </w:rPr>
        <w:t>甲方有权委托管理单位对乙方的工作进行监督检查和考核。甲方不预付承包费，乙方承包服务期间所产生的各项费用由乙方承担。乙方须有垫付两个月服务费用的能力。甲方对乙方的工作质量进行监督检查，并按照《</w:t>
      </w:r>
      <w:r>
        <w:rPr>
          <w:rFonts w:hint="eastAsia" w:ascii="仿宋_GB2312" w:hAnsi="仿宋_GB2312" w:eastAsia="仿宋_GB2312" w:cs="仿宋_GB2312"/>
          <w:color w:val="000000"/>
          <w:sz w:val="24"/>
          <w:highlight w:val="none"/>
          <w:lang w:val="en-US" w:eastAsia="zh-CN"/>
        </w:rPr>
        <w:t>草堂街道环卫保洁工作外包项目服务质量考核办法</w:t>
      </w:r>
      <w:r>
        <w:rPr>
          <w:rFonts w:ascii="仿宋_GB2312" w:hAnsi="仿宋_GB2312" w:eastAsia="仿宋_GB2312" w:cs="仿宋_GB2312"/>
          <w:color w:val="000000"/>
          <w:sz w:val="24"/>
          <w:highlight w:val="none"/>
        </w:rPr>
        <w:t>》对乙方进行考核。</w:t>
      </w:r>
    </w:p>
    <w:p w14:paraId="0D3420BF">
      <w:pPr>
        <w:pStyle w:val="16"/>
        <w:numPr>
          <w:ilvl w:val="0"/>
          <w:numId w:val="14"/>
        </w:numPr>
        <w:spacing w:after="60" w:line="288" w:lineRule="auto"/>
        <w:ind w:left="960" w:hanging="360"/>
        <w:rPr>
          <w:highlight w:val="none"/>
        </w:rPr>
      </w:pPr>
      <w:r>
        <w:rPr>
          <w:rFonts w:ascii="仿宋_GB2312" w:hAnsi="仿宋_GB2312" w:eastAsia="仿宋_GB2312" w:cs="仿宋_GB2312"/>
          <w:color w:val="000000"/>
          <w:sz w:val="24"/>
          <w:highlight w:val="none"/>
        </w:rPr>
        <w:t>甲方对乙方承包费用涉及项目的发放和工服、反光背心、工器具配备进行监督检查，未按规定要求执行的甲方有权根据情节轻重给予相应批评教育、扣除一定月承包费用。</w:t>
      </w:r>
    </w:p>
    <w:p w14:paraId="7055DD5F">
      <w:pPr>
        <w:pStyle w:val="16"/>
        <w:numPr>
          <w:ilvl w:val="0"/>
          <w:numId w:val="14"/>
        </w:numPr>
        <w:spacing w:after="60" w:line="288" w:lineRule="auto"/>
        <w:ind w:left="960" w:hanging="360"/>
        <w:rPr>
          <w:highlight w:val="none"/>
        </w:rPr>
      </w:pPr>
      <w:r>
        <w:rPr>
          <w:rFonts w:ascii="仿宋_GB2312" w:hAnsi="仿宋_GB2312" w:eastAsia="仿宋_GB2312" w:cs="仿宋_GB2312"/>
          <w:color w:val="000000"/>
          <w:sz w:val="24"/>
          <w:highlight w:val="none"/>
        </w:rPr>
        <w:t>如遇重大接待、卫生检查、绿化检查及应急预案的紧急启动，甲方有权调用乙方人员、车辆及设备。</w:t>
      </w:r>
    </w:p>
    <w:p w14:paraId="490DC8C8">
      <w:pPr>
        <w:pStyle w:val="16"/>
        <w:numPr>
          <w:ilvl w:val="0"/>
          <w:numId w:val="14"/>
        </w:numPr>
        <w:spacing w:after="60" w:line="288" w:lineRule="auto"/>
        <w:ind w:left="960" w:hanging="360"/>
        <w:rPr>
          <w:highlight w:val="none"/>
        </w:rPr>
      </w:pPr>
      <w:r>
        <w:rPr>
          <w:rFonts w:ascii="仿宋_GB2312" w:hAnsi="仿宋_GB2312" w:eastAsia="仿宋_GB2312" w:cs="仿宋_GB2312"/>
          <w:color w:val="000000"/>
          <w:sz w:val="24"/>
          <w:highlight w:val="none"/>
        </w:rPr>
        <w:t>甲方为提升高新区市容环境整体形象，有权要求乙方以统一标准自行采购保洁工人、养护工人、公厕管理人员、垃圾清运人员的工作服装（含：春秋两套、夏季两套、冬季防寒服（棉大衣）一套、雨衣一套、反光背心、红袖章），根据承包单位核定人数制作，由承包方承担费用，在签订承包合同前配置完毕，甲方采取不定期方式进行监督考核。</w:t>
      </w:r>
    </w:p>
    <w:p w14:paraId="1270E44C">
      <w:pPr>
        <w:pStyle w:val="16"/>
        <w:numPr>
          <w:ilvl w:val="0"/>
          <w:numId w:val="14"/>
        </w:numPr>
        <w:spacing w:after="60" w:line="288" w:lineRule="auto"/>
        <w:ind w:left="960" w:hanging="360"/>
        <w:rPr>
          <w:highlight w:val="none"/>
        </w:rPr>
      </w:pPr>
      <w:r>
        <w:rPr>
          <w:rFonts w:ascii="仿宋_GB2312" w:hAnsi="仿宋_GB2312" w:eastAsia="仿宋_GB2312" w:cs="仿宋_GB2312"/>
          <w:color w:val="000000"/>
          <w:sz w:val="24"/>
          <w:highlight w:val="none"/>
        </w:rPr>
        <w:t>有权委派道路巡查督导乙方的各项服务管理工作，每日监督检查服务质量，对存在问题列入限时督办整改。</w:t>
      </w:r>
    </w:p>
    <w:p w14:paraId="474628C3">
      <w:pPr>
        <w:pStyle w:val="16"/>
        <w:numPr>
          <w:ilvl w:val="0"/>
          <w:numId w:val="14"/>
        </w:numPr>
        <w:spacing w:after="60" w:line="288" w:lineRule="auto"/>
        <w:ind w:left="960" w:hanging="360"/>
        <w:rPr>
          <w:highlight w:val="none"/>
        </w:rPr>
      </w:pPr>
      <w:r>
        <w:rPr>
          <w:rFonts w:ascii="仿宋_GB2312" w:hAnsi="仿宋_GB2312" w:eastAsia="仿宋_GB2312" w:cs="仿宋_GB2312"/>
          <w:color w:val="000000"/>
          <w:sz w:val="24"/>
          <w:highlight w:val="none"/>
        </w:rPr>
        <w:t>核定因市政施工、交通事故及不可抗力造成的绿化苗木及园林小品、园林设施设备、环卫设施设备的损失并予以补充。</w:t>
      </w:r>
    </w:p>
    <w:p w14:paraId="4FCD8B40">
      <w:pPr>
        <w:pStyle w:val="16"/>
        <w:numPr>
          <w:ilvl w:val="0"/>
          <w:numId w:val="14"/>
        </w:numPr>
        <w:spacing w:after="60" w:line="288" w:lineRule="auto"/>
        <w:ind w:left="960" w:hanging="360"/>
        <w:rPr>
          <w:highlight w:val="none"/>
        </w:rPr>
      </w:pPr>
      <w:r>
        <w:rPr>
          <w:rFonts w:ascii="仿宋_GB2312" w:hAnsi="仿宋_GB2312" w:eastAsia="仿宋_GB2312" w:cs="仿宋_GB2312"/>
          <w:color w:val="000000"/>
          <w:sz w:val="24"/>
          <w:highlight w:val="none"/>
        </w:rPr>
        <w:t>乙方连续三次以上对督办整改问题不予执行或执行不力，且警告无效者，甲方有权终止本合同。</w:t>
      </w:r>
    </w:p>
    <w:p w14:paraId="5B99A1F9">
      <w:pPr>
        <w:pStyle w:val="16"/>
        <w:numPr>
          <w:ilvl w:val="0"/>
          <w:numId w:val="14"/>
        </w:numPr>
        <w:spacing w:after="60" w:line="288" w:lineRule="auto"/>
        <w:ind w:left="960" w:hanging="360"/>
        <w:rPr>
          <w:highlight w:val="none"/>
        </w:rPr>
      </w:pPr>
      <w:r>
        <w:rPr>
          <w:rFonts w:ascii="仿宋_GB2312" w:hAnsi="仿宋_GB2312" w:eastAsia="仿宋_GB2312" w:cs="仿宋_GB2312"/>
          <w:color w:val="000000"/>
          <w:sz w:val="24"/>
          <w:highlight w:val="none"/>
        </w:rPr>
        <w:t>甲方有权对本合同涉及附件根据实际情况变化进行补充修订。</w:t>
      </w:r>
    </w:p>
    <w:p w14:paraId="3F5E4495">
      <w:pPr>
        <w:spacing w:after="90" w:line="288" w:lineRule="auto"/>
        <w:ind w:firstLine="480"/>
        <w:jc w:val="both"/>
        <w:rPr>
          <w:highlight w:val="none"/>
        </w:rPr>
      </w:pPr>
      <w:r>
        <w:rPr>
          <w:rFonts w:ascii="仿宋_GB2312" w:hAnsi="仿宋_GB2312" w:eastAsia="仿宋_GB2312" w:cs="仿宋_GB2312"/>
          <w:b/>
          <w:color w:val="000000"/>
          <w:sz w:val="24"/>
          <w:highlight w:val="none"/>
        </w:rPr>
        <w:t>第八条 甲方的义务如下</w:t>
      </w:r>
    </w:p>
    <w:p w14:paraId="2B8F2112">
      <w:pPr>
        <w:pStyle w:val="16"/>
        <w:numPr>
          <w:ilvl w:val="0"/>
          <w:numId w:val="15"/>
        </w:numPr>
        <w:spacing w:after="60" w:line="288" w:lineRule="auto"/>
        <w:ind w:left="960" w:hanging="360"/>
        <w:rPr>
          <w:highlight w:val="none"/>
        </w:rPr>
      </w:pPr>
      <w:r>
        <w:rPr>
          <w:rFonts w:ascii="仿宋_GB2312" w:hAnsi="仿宋_GB2312" w:eastAsia="仿宋_GB2312" w:cs="仿宋_GB2312"/>
          <w:color w:val="000000"/>
          <w:sz w:val="24"/>
          <w:highlight w:val="none"/>
        </w:rPr>
        <w:t>甲方应按合同约定支付乙方承包费用，</w:t>
      </w:r>
      <w:r>
        <w:rPr>
          <w:rFonts w:hint="eastAsia" w:ascii="仿宋_GB2312" w:hAnsi="仿宋_GB2312" w:eastAsia="仿宋_GB2312" w:cs="仿宋_GB2312"/>
          <w:color w:val="000000"/>
          <w:sz w:val="24"/>
          <w:highlight w:val="none"/>
          <w:lang w:val="en-US" w:eastAsia="zh-CN"/>
        </w:rPr>
        <w:t>按照每月考核情况</w:t>
      </w:r>
      <w:r>
        <w:rPr>
          <w:rFonts w:ascii="仿宋_GB2312" w:hAnsi="仿宋_GB2312" w:eastAsia="仿宋_GB2312" w:cs="仿宋_GB2312"/>
          <w:color w:val="000000"/>
          <w:sz w:val="24"/>
          <w:highlight w:val="none"/>
        </w:rPr>
        <w:t>，在收到乙方送达合法票据后办理上月承包费用支付手续。</w:t>
      </w:r>
    </w:p>
    <w:p w14:paraId="02DA619C">
      <w:pPr>
        <w:pStyle w:val="16"/>
        <w:numPr>
          <w:ilvl w:val="0"/>
          <w:numId w:val="15"/>
        </w:numPr>
        <w:spacing w:after="60" w:line="288" w:lineRule="auto"/>
        <w:ind w:left="960" w:hanging="360"/>
        <w:rPr>
          <w:highlight w:val="none"/>
        </w:rPr>
      </w:pPr>
      <w:r>
        <w:rPr>
          <w:rFonts w:ascii="仿宋_GB2312" w:hAnsi="仿宋_GB2312" w:eastAsia="仿宋_GB2312" w:cs="仿宋_GB2312"/>
          <w:color w:val="000000"/>
          <w:sz w:val="24"/>
          <w:highlight w:val="none"/>
        </w:rPr>
        <w:t xml:space="preserve">每月将承包费用转入乙方指定公司账户： </w:t>
      </w:r>
    </w:p>
    <w:p w14:paraId="4573FDE8">
      <w:pPr>
        <w:pStyle w:val="16"/>
        <w:numPr>
          <w:ilvl w:val="0"/>
          <w:numId w:val="0"/>
        </w:numPr>
        <w:spacing w:after="60" w:line="288" w:lineRule="auto"/>
        <w:ind w:left="600" w:leftChars="0"/>
        <w:rPr>
          <w:rFonts w:hint="eastAsia" w:ascii="仿宋_GB2312" w:hAnsi="仿宋_GB2312" w:eastAsia="仿宋_GB2312" w:cs="仿宋_GB2312"/>
          <w:color w:val="000000"/>
          <w:sz w:val="24"/>
          <w:highlight w:val="none"/>
          <w:u w:val="single"/>
          <w:lang w:val="en-US" w:eastAsia="zh-CN"/>
        </w:rPr>
      </w:pPr>
      <w:r>
        <w:rPr>
          <w:rFonts w:ascii="仿宋_GB2312" w:hAnsi="仿宋_GB2312" w:eastAsia="仿宋_GB2312" w:cs="仿宋_GB2312"/>
          <w:color w:val="000000"/>
          <w:sz w:val="24"/>
          <w:highlight w:val="none"/>
        </w:rPr>
        <w:t>单位全称</w:t>
      </w:r>
      <w:r>
        <w:rPr>
          <w:rFonts w:hint="eastAsia" w:ascii="仿宋_GB2312" w:hAnsi="仿宋_GB2312" w:eastAsia="仿宋_GB2312" w:cs="仿宋_GB2312"/>
          <w:color w:val="000000"/>
          <w:sz w:val="24"/>
          <w:highlight w:val="none"/>
          <w:lang w:eastAsia="zh-CN"/>
        </w:rPr>
        <w:t>：</w:t>
      </w:r>
      <w:r>
        <w:rPr>
          <w:rFonts w:hint="eastAsia" w:ascii="仿宋_GB2312" w:hAnsi="仿宋_GB2312" w:eastAsia="仿宋_GB2312" w:cs="仿宋_GB2312"/>
          <w:color w:val="000000"/>
          <w:sz w:val="24"/>
          <w:highlight w:val="none"/>
          <w:lang w:val="en-US" w:eastAsia="zh-CN"/>
        </w:rPr>
        <w:t xml:space="preserve">       </w:t>
      </w:r>
      <w:r>
        <w:rPr>
          <w:rFonts w:hint="eastAsia" w:ascii="仿宋_GB2312" w:hAnsi="仿宋_GB2312" w:eastAsia="仿宋_GB2312" w:cs="仿宋_GB2312"/>
          <w:color w:val="000000"/>
          <w:sz w:val="24"/>
          <w:highlight w:val="none"/>
          <w:u w:val="single"/>
          <w:lang w:val="en-US" w:eastAsia="zh-CN"/>
        </w:rPr>
        <w:t xml:space="preserve">     </w:t>
      </w:r>
    </w:p>
    <w:p w14:paraId="166CE1E4">
      <w:pPr>
        <w:pStyle w:val="16"/>
        <w:numPr>
          <w:ilvl w:val="0"/>
          <w:numId w:val="0"/>
        </w:numPr>
        <w:spacing w:after="60" w:line="288" w:lineRule="auto"/>
        <w:ind w:left="600" w:leftChars="0"/>
        <w:rPr>
          <w:rFonts w:hint="default" w:ascii="仿宋_GB2312" w:hAnsi="仿宋_GB2312" w:eastAsia="仿宋_GB2312" w:cs="仿宋_GB2312"/>
          <w:color w:val="000000"/>
          <w:sz w:val="24"/>
          <w:highlight w:val="none"/>
          <w:lang w:val="en-US" w:eastAsia="zh-CN"/>
        </w:rPr>
      </w:pPr>
      <w:r>
        <w:rPr>
          <w:rFonts w:ascii="仿宋_GB2312" w:hAnsi="仿宋_GB2312" w:eastAsia="仿宋_GB2312" w:cs="仿宋_GB2312"/>
          <w:color w:val="000000"/>
          <w:sz w:val="24"/>
          <w:highlight w:val="none"/>
        </w:rPr>
        <w:t>账号：</w:t>
      </w:r>
      <w:r>
        <w:rPr>
          <w:rFonts w:hint="eastAsia" w:ascii="仿宋_GB2312" w:hAnsi="仿宋_GB2312" w:eastAsia="仿宋_GB2312" w:cs="仿宋_GB2312"/>
          <w:color w:val="000000"/>
          <w:sz w:val="24"/>
          <w:highlight w:val="none"/>
          <w:lang w:val="en-US" w:eastAsia="zh-CN"/>
        </w:rPr>
        <w:t xml:space="preserve">    </w:t>
      </w:r>
    </w:p>
    <w:p w14:paraId="51774B4F">
      <w:pPr>
        <w:pStyle w:val="16"/>
        <w:numPr>
          <w:ilvl w:val="0"/>
          <w:numId w:val="0"/>
        </w:numPr>
        <w:spacing w:after="60" w:line="288" w:lineRule="auto"/>
        <w:ind w:left="600" w:leftChars="0"/>
        <w:rPr>
          <w:rFonts w:hint="default" w:eastAsia="仿宋_GB2312"/>
          <w:highlight w:val="none"/>
          <w:lang w:val="en-US" w:eastAsia="zh-CN"/>
        </w:rPr>
      </w:pPr>
      <w:r>
        <w:rPr>
          <w:rFonts w:ascii="仿宋_GB2312" w:hAnsi="仿宋_GB2312" w:eastAsia="仿宋_GB2312" w:cs="仿宋_GB2312"/>
          <w:color w:val="000000"/>
          <w:sz w:val="24"/>
          <w:highlight w:val="none"/>
        </w:rPr>
        <w:t>开户行：</w:t>
      </w:r>
      <w:r>
        <w:rPr>
          <w:rFonts w:hint="eastAsia" w:ascii="仿宋_GB2312" w:hAnsi="仿宋_GB2312" w:eastAsia="仿宋_GB2312" w:cs="仿宋_GB2312"/>
          <w:color w:val="000000"/>
          <w:sz w:val="24"/>
          <w:highlight w:val="none"/>
          <w:lang w:val="en-US" w:eastAsia="zh-CN"/>
        </w:rPr>
        <w:t xml:space="preserve">  </w:t>
      </w:r>
    </w:p>
    <w:p w14:paraId="399C79C8">
      <w:pPr>
        <w:pStyle w:val="16"/>
        <w:numPr>
          <w:ilvl w:val="0"/>
          <w:numId w:val="15"/>
        </w:numPr>
        <w:spacing w:after="60" w:line="288" w:lineRule="auto"/>
        <w:ind w:left="960" w:hanging="360"/>
        <w:rPr>
          <w:highlight w:val="none"/>
        </w:rPr>
      </w:pPr>
      <w:r>
        <w:rPr>
          <w:rFonts w:ascii="仿宋_GB2312" w:hAnsi="仿宋_GB2312" w:eastAsia="仿宋_GB2312" w:cs="仿宋_GB2312"/>
          <w:color w:val="000000"/>
          <w:sz w:val="24"/>
          <w:highlight w:val="none"/>
        </w:rPr>
        <w:t>为乙方提供《西安高新区道路保洁质量标准和考核办法》、《西安高新区市容环境道路清扫保洁应急预案》、《西安高新区绿化养护管理考评办法》、《西安高新区城市容貌标准》、《西安市城市绿化条例》、《西安高新区农药管理条例》、《西安高新区道路绿化养护应急预案》、《西安高新区公厕管理服务规范》、《西安高新区生活垃圾分类运输管理办法》等技术管理文件，提供专业技术支持。</w:t>
      </w:r>
    </w:p>
    <w:p w14:paraId="64E832A4">
      <w:pPr>
        <w:pStyle w:val="16"/>
        <w:numPr>
          <w:ilvl w:val="0"/>
          <w:numId w:val="15"/>
        </w:numPr>
        <w:spacing w:after="60" w:line="288" w:lineRule="auto"/>
        <w:ind w:left="960" w:hanging="360"/>
        <w:rPr>
          <w:highlight w:val="none"/>
        </w:rPr>
      </w:pPr>
      <w:r>
        <w:rPr>
          <w:rFonts w:ascii="仿宋_GB2312" w:hAnsi="仿宋_GB2312" w:eastAsia="仿宋_GB2312" w:cs="仿宋_GB2312"/>
          <w:color w:val="000000"/>
          <w:sz w:val="24"/>
          <w:highlight w:val="none"/>
        </w:rPr>
        <w:t>审核乙方上报的管理方案、应急方案、安全文明管理办法等规章制度是否合理可行，提供技术指导和修改意见。</w:t>
      </w:r>
    </w:p>
    <w:p w14:paraId="4C68CA68">
      <w:pPr>
        <w:pStyle w:val="6"/>
        <w:keepNext w:val="0"/>
        <w:keepLines w:val="0"/>
        <w:pageBreakBefore w:val="0"/>
        <w:spacing w:before="187" w:after="112" w:line="288" w:lineRule="auto"/>
        <w:outlineLvl w:val="1"/>
        <w:rPr>
          <w:highlight w:val="none"/>
        </w:rPr>
      </w:pPr>
      <w:r>
        <w:rPr>
          <w:rFonts w:ascii="黑体" w:hAnsi="黑体" w:eastAsia="黑体" w:cs="黑体"/>
          <w:b/>
          <w:color w:val="000000"/>
          <w:sz w:val="27"/>
          <w:highlight w:val="none"/>
        </w:rPr>
        <w:t>第四章 乙方的权利与义务</w:t>
      </w:r>
    </w:p>
    <w:p w14:paraId="2D601D7A">
      <w:pPr>
        <w:spacing w:after="90" w:line="288" w:lineRule="auto"/>
        <w:ind w:firstLine="480"/>
        <w:jc w:val="both"/>
        <w:rPr>
          <w:rFonts w:hint="default" w:eastAsia="仿宋_GB2312"/>
          <w:highlight w:val="none"/>
          <w:lang w:val="en-US" w:eastAsia="zh-CN"/>
        </w:rPr>
      </w:pPr>
      <w:r>
        <w:rPr>
          <w:rFonts w:ascii="仿宋_GB2312" w:hAnsi="仿宋_GB2312" w:eastAsia="仿宋_GB2312" w:cs="仿宋_GB2312"/>
          <w:b/>
          <w:color w:val="000000"/>
          <w:sz w:val="24"/>
          <w:highlight w:val="none"/>
        </w:rPr>
        <w:t>第九条 乙方在承包期间享有如下权利</w:t>
      </w:r>
    </w:p>
    <w:p w14:paraId="3651911C">
      <w:pPr>
        <w:pStyle w:val="16"/>
        <w:numPr>
          <w:ilvl w:val="0"/>
          <w:numId w:val="16"/>
        </w:numPr>
        <w:spacing w:after="60" w:line="288" w:lineRule="auto"/>
        <w:ind w:left="960" w:hanging="360"/>
        <w:rPr>
          <w:highlight w:val="none"/>
        </w:rPr>
      </w:pPr>
      <w:r>
        <w:rPr>
          <w:rFonts w:hint="eastAsia" w:ascii="仿宋_GB2312" w:hAnsi="仿宋_GB2312" w:eastAsia="仿宋_GB2312" w:cs="仿宋_GB2312"/>
          <w:color w:val="000000"/>
          <w:sz w:val="24"/>
          <w:highlight w:val="none"/>
          <w:lang w:val="en-US" w:eastAsia="zh-CN"/>
        </w:rPr>
        <w:t>做好自己</w:t>
      </w:r>
      <w:r>
        <w:rPr>
          <w:rFonts w:ascii="仿宋_GB2312" w:hAnsi="仿宋_GB2312" w:eastAsia="仿宋_GB2312" w:cs="仿宋_GB2312"/>
          <w:color w:val="000000"/>
          <w:sz w:val="24"/>
          <w:highlight w:val="none"/>
        </w:rPr>
        <w:t>公司的机构设置、人事任免和专业技术人员的聘任，依照有关规定奖惩、招用职工和辞退违纪职工。</w:t>
      </w:r>
    </w:p>
    <w:p w14:paraId="2FCFDBD2">
      <w:pPr>
        <w:pStyle w:val="16"/>
        <w:numPr>
          <w:ilvl w:val="0"/>
          <w:numId w:val="16"/>
        </w:numPr>
        <w:spacing w:after="60" w:line="288" w:lineRule="auto"/>
        <w:ind w:left="960" w:hanging="360"/>
        <w:rPr>
          <w:highlight w:val="none"/>
        </w:rPr>
      </w:pPr>
      <w:r>
        <w:rPr>
          <w:rFonts w:ascii="仿宋_GB2312" w:hAnsi="仿宋_GB2312" w:eastAsia="仿宋_GB2312" w:cs="仿宋_GB2312"/>
          <w:color w:val="000000"/>
          <w:sz w:val="24"/>
          <w:highlight w:val="none"/>
        </w:rPr>
        <w:t>制定内部分配制度，在符合法律规定的范围内自选工资形式，自定工资标准且不得低于所在市和管辖区规定最低标准。</w:t>
      </w:r>
    </w:p>
    <w:p w14:paraId="3BEE55AE">
      <w:pPr>
        <w:pStyle w:val="16"/>
        <w:numPr>
          <w:ilvl w:val="0"/>
          <w:numId w:val="16"/>
        </w:numPr>
        <w:spacing w:after="60" w:line="288" w:lineRule="auto"/>
        <w:ind w:left="960" w:hanging="360"/>
        <w:rPr>
          <w:highlight w:val="none"/>
        </w:rPr>
      </w:pPr>
      <w:r>
        <w:rPr>
          <w:rFonts w:ascii="仿宋_GB2312" w:hAnsi="仿宋_GB2312" w:eastAsia="仿宋_GB2312" w:cs="仿宋_GB2312"/>
          <w:color w:val="000000"/>
          <w:sz w:val="24"/>
          <w:highlight w:val="none"/>
        </w:rPr>
        <w:t>为确保服务质量，乙方应组织一支技术骨干队伍，建立严格的质量管理体系，操作规范，成效突出。</w:t>
      </w:r>
    </w:p>
    <w:p w14:paraId="02D74A3C">
      <w:pPr>
        <w:pStyle w:val="16"/>
        <w:numPr>
          <w:ilvl w:val="0"/>
          <w:numId w:val="16"/>
        </w:numPr>
        <w:spacing w:after="60" w:line="288" w:lineRule="auto"/>
        <w:ind w:left="960" w:hanging="360"/>
        <w:rPr>
          <w:highlight w:val="none"/>
        </w:rPr>
      </w:pPr>
      <w:r>
        <w:rPr>
          <w:rFonts w:ascii="仿宋_GB2312" w:hAnsi="仿宋_GB2312" w:eastAsia="仿宋_GB2312" w:cs="仿宋_GB2312"/>
          <w:color w:val="000000"/>
          <w:sz w:val="24"/>
          <w:highlight w:val="none"/>
        </w:rPr>
        <w:t>负责对各类作业人员进行安全教育，岗前培训，提供安全作业的一切措施，并承担相应的安全责任及费用。</w:t>
      </w:r>
    </w:p>
    <w:p w14:paraId="24EB2137">
      <w:pPr>
        <w:pStyle w:val="16"/>
        <w:numPr>
          <w:ilvl w:val="0"/>
          <w:numId w:val="16"/>
        </w:numPr>
        <w:spacing w:after="60" w:line="288" w:lineRule="auto"/>
        <w:ind w:left="960" w:hanging="360"/>
        <w:rPr>
          <w:highlight w:val="none"/>
        </w:rPr>
      </w:pPr>
      <w:r>
        <w:rPr>
          <w:rFonts w:ascii="仿宋_GB2312" w:hAnsi="仿宋_GB2312" w:eastAsia="仿宋_GB2312" w:cs="仿宋_GB2312"/>
          <w:color w:val="000000"/>
          <w:sz w:val="24"/>
          <w:highlight w:val="none"/>
        </w:rPr>
        <w:t>乙方及时更换因养护不善死亡的苗木，及时恢复人为踩踏的损坏绿地。</w:t>
      </w:r>
    </w:p>
    <w:p w14:paraId="2368CCC6">
      <w:pPr>
        <w:pStyle w:val="16"/>
        <w:numPr>
          <w:ilvl w:val="0"/>
          <w:numId w:val="16"/>
        </w:numPr>
        <w:spacing w:after="60" w:line="288" w:lineRule="auto"/>
        <w:ind w:left="960" w:hanging="360"/>
        <w:rPr>
          <w:highlight w:val="none"/>
        </w:rPr>
      </w:pPr>
      <w:r>
        <w:rPr>
          <w:rFonts w:ascii="仿宋_GB2312" w:hAnsi="仿宋_GB2312" w:eastAsia="仿宋_GB2312" w:cs="仿宋_GB2312"/>
          <w:color w:val="000000"/>
          <w:sz w:val="24"/>
          <w:highlight w:val="none"/>
        </w:rPr>
        <w:t>服从甲方制定的各项管理标准和考核评分办法等相关规定。</w:t>
      </w:r>
    </w:p>
    <w:p w14:paraId="4DA593F3">
      <w:pPr>
        <w:pStyle w:val="16"/>
        <w:numPr>
          <w:ilvl w:val="0"/>
          <w:numId w:val="16"/>
        </w:numPr>
        <w:spacing w:after="60" w:line="288" w:lineRule="auto"/>
        <w:ind w:left="960" w:hanging="360"/>
        <w:rPr>
          <w:highlight w:val="none"/>
        </w:rPr>
      </w:pPr>
      <w:r>
        <w:rPr>
          <w:rFonts w:ascii="仿宋_GB2312" w:hAnsi="仿宋_GB2312" w:eastAsia="仿宋_GB2312" w:cs="仿宋_GB2312"/>
          <w:color w:val="000000"/>
          <w:sz w:val="24"/>
          <w:highlight w:val="none"/>
        </w:rPr>
        <w:t>配合甲方完成高新区创卫、创文、ISO14000环保体系认证等重大检查审核工作。</w:t>
      </w:r>
    </w:p>
    <w:p w14:paraId="7C75B8A7">
      <w:pPr>
        <w:pStyle w:val="16"/>
        <w:numPr>
          <w:ilvl w:val="0"/>
          <w:numId w:val="16"/>
        </w:numPr>
        <w:spacing w:after="60" w:line="288" w:lineRule="auto"/>
        <w:ind w:left="960" w:hanging="360"/>
        <w:rPr>
          <w:highlight w:val="none"/>
        </w:rPr>
      </w:pPr>
      <w:r>
        <w:rPr>
          <w:rFonts w:ascii="仿宋_GB2312" w:hAnsi="仿宋_GB2312" w:eastAsia="仿宋_GB2312" w:cs="仿宋_GB2312"/>
          <w:color w:val="000000"/>
          <w:sz w:val="24"/>
          <w:highlight w:val="none"/>
        </w:rPr>
        <w:t>不得擅自改变原有绿化原貌及绿化区域。</w:t>
      </w:r>
    </w:p>
    <w:p w14:paraId="3A5F1503">
      <w:pPr>
        <w:spacing w:after="90" w:line="288" w:lineRule="auto"/>
        <w:ind w:firstLine="480"/>
        <w:jc w:val="both"/>
        <w:rPr>
          <w:highlight w:val="none"/>
        </w:rPr>
      </w:pPr>
      <w:r>
        <w:rPr>
          <w:rFonts w:ascii="仿宋_GB2312" w:hAnsi="仿宋_GB2312" w:eastAsia="仿宋_GB2312" w:cs="仿宋_GB2312"/>
          <w:b/>
          <w:color w:val="000000"/>
          <w:sz w:val="24"/>
          <w:highlight w:val="none"/>
        </w:rPr>
        <w:t>第十条 乙方在承包期间承担如下责任和义务</w:t>
      </w:r>
    </w:p>
    <w:p w14:paraId="656400E5">
      <w:pPr>
        <w:pStyle w:val="16"/>
        <w:numPr>
          <w:ilvl w:val="0"/>
          <w:numId w:val="17"/>
        </w:numPr>
        <w:spacing w:after="60" w:line="288" w:lineRule="auto"/>
        <w:ind w:left="960" w:hanging="360"/>
        <w:rPr>
          <w:rFonts w:ascii="仿宋_GB2312" w:hAnsi="仿宋_GB2312" w:eastAsia="仿宋_GB2312" w:cs="仿宋_GB2312"/>
          <w:color w:val="000000"/>
          <w:sz w:val="24"/>
          <w:highlight w:val="none"/>
        </w:rPr>
      </w:pPr>
      <w:r>
        <w:rPr>
          <w:rFonts w:hint="eastAsia" w:ascii="仿宋_GB2312" w:hAnsi="仿宋_GB2312" w:eastAsia="仿宋_GB2312" w:cs="仿宋_GB2312"/>
          <w:color w:val="000000"/>
          <w:sz w:val="24"/>
          <w:highlight w:val="none"/>
          <w:lang w:val="en-US" w:eastAsia="zh-CN"/>
        </w:rPr>
        <w:t>服从甲方的安排，承担甲方安排的关于辖区重点工作的保障任务，不得以不在承包范围，不属于工作职责的理由推诿扯皮。</w:t>
      </w:r>
    </w:p>
    <w:p w14:paraId="73C25A29">
      <w:pPr>
        <w:pStyle w:val="16"/>
        <w:numPr>
          <w:ilvl w:val="0"/>
          <w:numId w:val="17"/>
        </w:numPr>
        <w:spacing w:after="60" w:line="288" w:lineRule="auto"/>
        <w:ind w:left="960" w:hanging="360"/>
        <w:rPr>
          <w:highlight w:val="none"/>
        </w:rPr>
      </w:pPr>
      <w:r>
        <w:rPr>
          <w:rFonts w:ascii="仿宋_GB2312" w:hAnsi="仿宋_GB2312" w:eastAsia="仿宋_GB2312" w:cs="仿宋_GB2312"/>
          <w:color w:val="000000"/>
          <w:sz w:val="24"/>
          <w:highlight w:val="none"/>
        </w:rPr>
        <w:t>合法从事承包经营，响应政策号召及西安市和高新区相关领导部门的管理规定。</w:t>
      </w:r>
    </w:p>
    <w:p w14:paraId="7A4A85E2">
      <w:pPr>
        <w:pStyle w:val="16"/>
        <w:numPr>
          <w:ilvl w:val="0"/>
          <w:numId w:val="17"/>
        </w:numPr>
        <w:spacing w:after="60" w:line="288" w:lineRule="auto"/>
        <w:ind w:left="960" w:hanging="360"/>
        <w:rPr>
          <w:highlight w:val="none"/>
        </w:rPr>
      </w:pPr>
      <w:r>
        <w:rPr>
          <w:rFonts w:ascii="仿宋_GB2312" w:hAnsi="仿宋_GB2312" w:eastAsia="仿宋_GB2312" w:cs="仿宋_GB2312"/>
          <w:color w:val="000000"/>
          <w:sz w:val="24"/>
          <w:highlight w:val="none"/>
        </w:rPr>
        <w:t>建立体系齐全的内部管理机制体制及管理架构，报甲方审核后严格执行，保障高水平管理效能。</w:t>
      </w:r>
    </w:p>
    <w:p w14:paraId="1BB6D17B">
      <w:pPr>
        <w:pStyle w:val="16"/>
        <w:numPr>
          <w:ilvl w:val="0"/>
          <w:numId w:val="17"/>
        </w:numPr>
        <w:spacing w:after="60" w:line="288" w:lineRule="auto"/>
        <w:ind w:left="960" w:hanging="360"/>
        <w:rPr>
          <w:highlight w:val="none"/>
        </w:rPr>
      </w:pPr>
      <w:r>
        <w:rPr>
          <w:rFonts w:ascii="仿宋_GB2312" w:hAnsi="仿宋_GB2312" w:eastAsia="仿宋_GB2312" w:cs="仿宋_GB2312"/>
          <w:color w:val="000000"/>
          <w:sz w:val="24"/>
          <w:highlight w:val="none"/>
        </w:rPr>
        <w:t>制定切实可行的管理方案、应急方案、安全文明管理办法等规章制度，报甲方审核后严格执行。</w:t>
      </w:r>
    </w:p>
    <w:p w14:paraId="5AD49488">
      <w:pPr>
        <w:pStyle w:val="16"/>
        <w:numPr>
          <w:ilvl w:val="0"/>
          <w:numId w:val="17"/>
        </w:numPr>
        <w:spacing w:after="60" w:line="288" w:lineRule="auto"/>
        <w:ind w:left="960" w:hanging="360"/>
        <w:rPr>
          <w:highlight w:val="none"/>
        </w:rPr>
      </w:pPr>
      <w:r>
        <w:rPr>
          <w:rFonts w:ascii="仿宋_GB2312" w:hAnsi="仿宋_GB2312" w:eastAsia="仿宋_GB2312" w:cs="仿宋_GB2312"/>
          <w:color w:val="000000"/>
          <w:sz w:val="24"/>
          <w:highlight w:val="none"/>
        </w:rPr>
        <w:t>制定符合实际工作需要、科学合理可行的作业方案，设置管理及作业网格，人员配置明确，报甲方审核后严格执行。</w:t>
      </w:r>
    </w:p>
    <w:p w14:paraId="0DDCE3EF">
      <w:pPr>
        <w:pStyle w:val="16"/>
        <w:numPr>
          <w:ilvl w:val="0"/>
          <w:numId w:val="17"/>
        </w:numPr>
        <w:spacing w:after="60" w:line="288" w:lineRule="auto"/>
        <w:ind w:left="960" w:hanging="360"/>
        <w:rPr>
          <w:highlight w:val="none"/>
        </w:rPr>
      </w:pPr>
      <w:r>
        <w:rPr>
          <w:rFonts w:ascii="仿宋_GB2312" w:hAnsi="仿宋_GB2312" w:eastAsia="仿宋_GB2312" w:cs="仿宋_GB2312"/>
          <w:color w:val="000000"/>
          <w:sz w:val="24"/>
          <w:highlight w:val="none"/>
        </w:rPr>
        <w:t>乙方应加强对各类作业人员的管理，一切劳资纠纷隐患，必须主动积极协调处理，不得推诿，绝不允许发生员工上访事件。</w:t>
      </w:r>
    </w:p>
    <w:p w14:paraId="60B38B1D">
      <w:pPr>
        <w:pStyle w:val="16"/>
        <w:numPr>
          <w:ilvl w:val="0"/>
          <w:numId w:val="17"/>
        </w:numPr>
        <w:spacing w:after="60" w:line="288" w:lineRule="auto"/>
        <w:ind w:left="960" w:hanging="360"/>
        <w:rPr>
          <w:highlight w:val="none"/>
        </w:rPr>
      </w:pPr>
      <w:r>
        <w:rPr>
          <w:rFonts w:ascii="仿宋_GB2312" w:hAnsi="仿宋_GB2312" w:eastAsia="仿宋_GB2312" w:cs="仿宋_GB2312"/>
          <w:color w:val="000000"/>
          <w:sz w:val="24"/>
          <w:highlight w:val="none"/>
        </w:rPr>
        <w:t>承担所属公司员工的工资及与承包经营直接相关的成本费用。</w:t>
      </w:r>
    </w:p>
    <w:p w14:paraId="376256CC">
      <w:pPr>
        <w:pStyle w:val="16"/>
        <w:numPr>
          <w:ilvl w:val="0"/>
          <w:numId w:val="17"/>
        </w:numPr>
        <w:spacing w:after="60" w:line="288" w:lineRule="auto"/>
        <w:ind w:left="960" w:hanging="360"/>
        <w:rPr>
          <w:highlight w:val="none"/>
        </w:rPr>
      </w:pPr>
      <w:r>
        <w:rPr>
          <w:rFonts w:ascii="仿宋_GB2312" w:hAnsi="仿宋_GB2312" w:eastAsia="仿宋_GB2312" w:cs="仿宋_GB2312"/>
          <w:color w:val="000000"/>
          <w:sz w:val="24"/>
          <w:highlight w:val="none"/>
        </w:rPr>
        <w:t>必须依照国家有关规定，按期如数缴纳应缴纳的各种税、费和统筹基金。</w:t>
      </w:r>
    </w:p>
    <w:p w14:paraId="129001C7">
      <w:pPr>
        <w:pStyle w:val="16"/>
        <w:numPr>
          <w:ilvl w:val="0"/>
          <w:numId w:val="17"/>
        </w:numPr>
        <w:spacing w:after="60" w:line="288" w:lineRule="auto"/>
        <w:ind w:left="960" w:hanging="360"/>
        <w:rPr>
          <w:highlight w:val="none"/>
        </w:rPr>
      </w:pPr>
      <w:r>
        <w:rPr>
          <w:rFonts w:ascii="仿宋_GB2312" w:hAnsi="仿宋_GB2312" w:eastAsia="仿宋_GB2312" w:cs="仿宋_GB2312"/>
          <w:color w:val="000000"/>
          <w:sz w:val="24"/>
          <w:highlight w:val="none"/>
        </w:rPr>
        <w:t>制定具体规章制度，实施合理措施，定期组织员工、专业司机学习业务、安全知识和交通法规，进行业务培训、安全教育，严格要求员工安全作业操作，保证员工及国家财产的安全并形成材料定期上报甲方。</w:t>
      </w:r>
    </w:p>
    <w:p w14:paraId="562D7514">
      <w:pPr>
        <w:pStyle w:val="16"/>
        <w:numPr>
          <w:ilvl w:val="0"/>
          <w:numId w:val="17"/>
        </w:numPr>
        <w:spacing w:after="60" w:line="288" w:lineRule="auto"/>
        <w:ind w:left="960" w:hanging="360"/>
        <w:rPr>
          <w:highlight w:val="none"/>
        </w:rPr>
      </w:pPr>
      <w:r>
        <w:rPr>
          <w:rFonts w:ascii="仿宋_GB2312" w:hAnsi="仿宋_GB2312" w:eastAsia="仿宋_GB2312" w:cs="仿宋_GB2312"/>
          <w:color w:val="000000"/>
          <w:sz w:val="24"/>
          <w:highlight w:val="none"/>
        </w:rPr>
        <w:t>乙方应严格遵守甲方规定的车辆管理制度，如甲方在北斗导航监控考核中发现乙方在网格化作业范围外用车、用油，倒卖水、油发生，违规作业，将依据甲方车辆考核细则条款扣除乙方相应月承包费用，情节严重移送公安机关处理。</w:t>
      </w:r>
    </w:p>
    <w:p w14:paraId="5B86F1B3">
      <w:pPr>
        <w:pStyle w:val="16"/>
        <w:numPr>
          <w:ilvl w:val="0"/>
          <w:numId w:val="17"/>
        </w:numPr>
        <w:spacing w:after="60" w:line="288" w:lineRule="auto"/>
        <w:ind w:left="960" w:hanging="360"/>
        <w:rPr>
          <w:highlight w:val="none"/>
        </w:rPr>
      </w:pPr>
      <w:r>
        <w:rPr>
          <w:rFonts w:ascii="仿宋_GB2312" w:hAnsi="仿宋_GB2312" w:eastAsia="仿宋_GB2312" w:cs="仿宋_GB2312"/>
          <w:color w:val="000000"/>
          <w:sz w:val="24"/>
          <w:highlight w:val="none"/>
        </w:rPr>
        <w:t>乙方日常人员出勤不得低于定编人员总数的90%，节假日人员出勤不得低于定编人员总数的75%（遇重大接待检查除外）。乙方为甲方提供员工花名册及身份证明和人员分布图，遇有人员变动应及时变更。甲方根据乙方提供员工花名册不定时、不定点进行人员核查。如日常人员出勤低于定编人员的90%，将按市城市管理局最新标准扣去差额百分比的人员工资费用；如节假日人员出勤低于定编人员的75%，将按市城市管理局最新标准扣去差额百分比的环卫人员双倍或三倍工资费用。</w:t>
      </w:r>
    </w:p>
    <w:p w14:paraId="30198923">
      <w:pPr>
        <w:pStyle w:val="16"/>
        <w:numPr>
          <w:ilvl w:val="0"/>
          <w:numId w:val="17"/>
        </w:numPr>
        <w:spacing w:after="60" w:line="288" w:lineRule="auto"/>
        <w:ind w:left="960" w:hanging="360"/>
        <w:rPr>
          <w:highlight w:val="none"/>
        </w:rPr>
      </w:pPr>
      <w:r>
        <w:rPr>
          <w:rFonts w:ascii="仿宋_GB2312" w:hAnsi="仿宋_GB2312" w:eastAsia="仿宋_GB2312" w:cs="仿宋_GB2312"/>
          <w:color w:val="000000"/>
          <w:sz w:val="24"/>
          <w:highlight w:val="none"/>
        </w:rPr>
        <w:t>乙方每日6:30前完成道路普扫工作，未完成道路普扫、道路漏扫、垃圾收集不及时、公厕保洁不到位、清运不及时和其他空挡时间出现服务不到位情况，甲方在取证后直接给予通报问责。</w:t>
      </w:r>
    </w:p>
    <w:p w14:paraId="70C1F6F7">
      <w:pPr>
        <w:pStyle w:val="16"/>
        <w:numPr>
          <w:ilvl w:val="0"/>
          <w:numId w:val="17"/>
        </w:numPr>
        <w:spacing w:after="60" w:line="288" w:lineRule="auto"/>
        <w:ind w:left="960" w:hanging="360"/>
        <w:rPr>
          <w:highlight w:val="none"/>
        </w:rPr>
      </w:pPr>
      <w:r>
        <w:rPr>
          <w:rFonts w:ascii="仿宋_GB2312" w:hAnsi="仿宋_GB2312" w:eastAsia="仿宋_GB2312" w:cs="仿宋_GB2312"/>
          <w:color w:val="000000"/>
          <w:sz w:val="24"/>
          <w:highlight w:val="none"/>
        </w:rPr>
        <w:t>如遇意外情况发生，应立即保护现场、救治伤员、并拨打保险公司报案电话和报警电话，并上报甲方。</w:t>
      </w:r>
    </w:p>
    <w:p w14:paraId="5917CABE">
      <w:pPr>
        <w:pStyle w:val="16"/>
        <w:numPr>
          <w:ilvl w:val="0"/>
          <w:numId w:val="17"/>
        </w:numPr>
        <w:spacing w:after="60" w:line="288" w:lineRule="auto"/>
        <w:ind w:left="960" w:hanging="360"/>
        <w:rPr>
          <w:highlight w:val="none"/>
        </w:rPr>
      </w:pPr>
      <w:r>
        <w:rPr>
          <w:rFonts w:ascii="仿宋_GB2312" w:hAnsi="仿宋_GB2312" w:eastAsia="仿宋_GB2312" w:cs="仿宋_GB2312"/>
          <w:color w:val="000000"/>
          <w:sz w:val="24"/>
          <w:highlight w:val="none"/>
        </w:rPr>
        <w:t>作为独立法人的公司全部负责处理工作过程中的各类安全事故，并承担相应的责任和费用。</w:t>
      </w:r>
    </w:p>
    <w:p w14:paraId="360F1A75">
      <w:pPr>
        <w:pStyle w:val="16"/>
        <w:numPr>
          <w:ilvl w:val="0"/>
          <w:numId w:val="17"/>
        </w:numPr>
        <w:spacing w:after="60" w:line="288" w:lineRule="auto"/>
        <w:ind w:left="960" w:hanging="360"/>
        <w:rPr>
          <w:highlight w:val="none"/>
        </w:rPr>
      </w:pPr>
      <w:r>
        <w:rPr>
          <w:rFonts w:ascii="仿宋_GB2312" w:hAnsi="仿宋_GB2312" w:eastAsia="仿宋_GB2312" w:cs="仿宋_GB2312"/>
          <w:color w:val="000000"/>
          <w:sz w:val="24"/>
          <w:highlight w:val="none"/>
        </w:rPr>
        <w:t>享有承包收益，承担承包亏损；承担交通事故由保险公司赔偿后的差额费用。</w:t>
      </w:r>
    </w:p>
    <w:p w14:paraId="06E8A913">
      <w:pPr>
        <w:pStyle w:val="16"/>
        <w:numPr>
          <w:ilvl w:val="0"/>
          <w:numId w:val="17"/>
        </w:numPr>
        <w:spacing w:after="60" w:line="288" w:lineRule="auto"/>
        <w:ind w:left="960" w:hanging="360"/>
        <w:rPr>
          <w:highlight w:val="none"/>
        </w:rPr>
      </w:pPr>
      <w:r>
        <w:rPr>
          <w:rFonts w:ascii="仿宋_GB2312" w:hAnsi="仿宋_GB2312" w:eastAsia="仿宋_GB2312" w:cs="仿宋_GB2312"/>
          <w:color w:val="000000"/>
          <w:sz w:val="24"/>
          <w:highlight w:val="none"/>
        </w:rPr>
        <w:t>乙方必须为所有作业人员购买人身意外伤害保险。</w:t>
      </w:r>
    </w:p>
    <w:p w14:paraId="76159854">
      <w:pPr>
        <w:pStyle w:val="16"/>
        <w:numPr>
          <w:ilvl w:val="0"/>
          <w:numId w:val="17"/>
        </w:numPr>
        <w:spacing w:after="60" w:line="288" w:lineRule="auto"/>
        <w:ind w:left="960" w:hanging="360"/>
        <w:rPr>
          <w:highlight w:val="none"/>
        </w:rPr>
      </w:pPr>
      <w:r>
        <w:rPr>
          <w:rFonts w:ascii="仿宋_GB2312" w:hAnsi="仿宋_GB2312" w:eastAsia="仿宋_GB2312" w:cs="仿宋_GB2312"/>
          <w:color w:val="000000"/>
          <w:sz w:val="24"/>
          <w:highlight w:val="none"/>
        </w:rPr>
        <w:t>严格遵守并执行甲方的质量标准和考核办法，服从甲方对服务质量的检查监督，切实采取有效措施保证服务质量符合甲方考核标准。</w:t>
      </w:r>
    </w:p>
    <w:p w14:paraId="5F294051">
      <w:pPr>
        <w:pStyle w:val="16"/>
        <w:numPr>
          <w:ilvl w:val="0"/>
          <w:numId w:val="17"/>
        </w:numPr>
        <w:spacing w:after="60" w:line="288" w:lineRule="auto"/>
        <w:ind w:left="960" w:hanging="360"/>
        <w:rPr>
          <w:highlight w:val="none"/>
        </w:rPr>
      </w:pPr>
      <w:r>
        <w:rPr>
          <w:rFonts w:ascii="仿宋_GB2312" w:hAnsi="仿宋_GB2312" w:eastAsia="仿宋_GB2312" w:cs="仿宋_GB2312"/>
          <w:color w:val="000000"/>
          <w:sz w:val="24"/>
          <w:highlight w:val="none"/>
        </w:rPr>
        <w:t>按期完成本合同规定的工作内容和各项临时任务。有义务配合甲方遇重大接待、卫生检查、绿化检查、及应急预案的紧急启动时车辆、人员的集中调配</w:t>
      </w:r>
      <w:r>
        <w:rPr>
          <w:rFonts w:hint="eastAsia" w:ascii="仿宋_GB2312" w:hAnsi="仿宋_GB2312" w:eastAsia="仿宋_GB2312" w:cs="仿宋_GB2312"/>
          <w:color w:val="000000"/>
          <w:sz w:val="24"/>
          <w:highlight w:val="none"/>
          <w:lang w:eastAsia="zh-CN"/>
        </w:rPr>
        <w:t>。</w:t>
      </w:r>
    </w:p>
    <w:p w14:paraId="10388D2A">
      <w:pPr>
        <w:pStyle w:val="16"/>
        <w:numPr>
          <w:ilvl w:val="0"/>
          <w:numId w:val="17"/>
        </w:numPr>
        <w:spacing w:after="60" w:line="288" w:lineRule="auto"/>
        <w:ind w:left="960" w:hanging="360"/>
        <w:rPr>
          <w:highlight w:val="none"/>
        </w:rPr>
      </w:pPr>
      <w:r>
        <w:rPr>
          <w:rFonts w:ascii="仿宋_GB2312" w:hAnsi="仿宋_GB2312" w:eastAsia="仿宋_GB2312" w:cs="仿宋_GB2312"/>
          <w:color w:val="000000"/>
          <w:sz w:val="24"/>
          <w:highlight w:val="none"/>
        </w:rPr>
        <w:t>备有物资仓库，生产物资需满足日常作业需求和突发事件应急需求储备；物资仓库需满足相关规定和标准，杜绝安全隐患。</w:t>
      </w:r>
    </w:p>
    <w:p w14:paraId="540D4354">
      <w:pPr>
        <w:pStyle w:val="16"/>
        <w:numPr>
          <w:ilvl w:val="0"/>
          <w:numId w:val="17"/>
        </w:numPr>
        <w:spacing w:after="60" w:line="288" w:lineRule="auto"/>
        <w:ind w:left="960" w:hanging="360"/>
        <w:rPr>
          <w:highlight w:val="none"/>
        </w:rPr>
      </w:pPr>
      <w:r>
        <w:rPr>
          <w:rFonts w:ascii="仿宋_GB2312" w:hAnsi="仿宋_GB2312" w:eastAsia="仿宋_GB2312" w:cs="仿宋_GB2312"/>
          <w:color w:val="000000"/>
          <w:sz w:val="24"/>
          <w:highlight w:val="none"/>
        </w:rPr>
        <w:t>乙方保洁工器具须按规定存入保洁工具箱，严禁将工器具乱堆乱放。</w:t>
      </w:r>
    </w:p>
    <w:p w14:paraId="12BD7B4C">
      <w:pPr>
        <w:pStyle w:val="16"/>
        <w:numPr>
          <w:ilvl w:val="0"/>
          <w:numId w:val="17"/>
        </w:numPr>
        <w:spacing w:after="60" w:line="288" w:lineRule="auto"/>
        <w:ind w:left="960" w:hanging="360"/>
        <w:rPr>
          <w:highlight w:val="none"/>
        </w:rPr>
      </w:pPr>
      <w:r>
        <w:rPr>
          <w:rFonts w:ascii="仿宋_GB2312" w:hAnsi="仿宋_GB2312" w:eastAsia="仿宋_GB2312" w:cs="仿宋_GB2312"/>
          <w:color w:val="000000"/>
          <w:sz w:val="24"/>
          <w:highlight w:val="none"/>
        </w:rPr>
        <w:t>乙方不得在道路、绿化带内私自摆放垃圾桶、设置临时垃圾点，垃圾随产随清。</w:t>
      </w:r>
    </w:p>
    <w:p w14:paraId="67366EC0">
      <w:pPr>
        <w:pStyle w:val="16"/>
        <w:numPr>
          <w:ilvl w:val="0"/>
          <w:numId w:val="17"/>
        </w:numPr>
        <w:spacing w:after="60" w:line="288" w:lineRule="auto"/>
        <w:ind w:left="960" w:hanging="360"/>
        <w:rPr>
          <w:highlight w:val="none"/>
        </w:rPr>
      </w:pPr>
      <w:r>
        <w:rPr>
          <w:rFonts w:ascii="仿宋_GB2312" w:hAnsi="仿宋_GB2312" w:eastAsia="仿宋_GB2312" w:cs="仿宋_GB2312"/>
          <w:color w:val="000000"/>
          <w:sz w:val="24"/>
          <w:highlight w:val="none"/>
        </w:rPr>
        <w:t>本项目拟派项目负责人不得随意更换，乙方如需更换需经甲方同意。甲方在合同履行过程中对项目负责人不满意，通知乙方更换后，乙方需在5日内更换。</w:t>
      </w:r>
    </w:p>
    <w:p w14:paraId="44621795">
      <w:pPr>
        <w:pStyle w:val="16"/>
        <w:numPr>
          <w:ilvl w:val="0"/>
          <w:numId w:val="17"/>
        </w:numPr>
        <w:spacing w:after="60" w:line="288" w:lineRule="auto"/>
        <w:ind w:left="960" w:hanging="360"/>
        <w:rPr>
          <w:highlight w:val="none"/>
        </w:rPr>
      </w:pPr>
      <w:r>
        <w:rPr>
          <w:rFonts w:ascii="仿宋_GB2312" w:hAnsi="仿宋_GB2312" w:eastAsia="仿宋_GB2312" w:cs="仿宋_GB2312"/>
          <w:color w:val="000000"/>
          <w:sz w:val="24"/>
          <w:highlight w:val="none"/>
        </w:rPr>
        <w:t>承包人自行配备的环卫车辆及设备需保障承包单位项目实施方案的机械化程度及服务效果。</w:t>
      </w:r>
    </w:p>
    <w:p w14:paraId="2F8B4486">
      <w:pPr>
        <w:pStyle w:val="16"/>
        <w:numPr>
          <w:ilvl w:val="0"/>
          <w:numId w:val="17"/>
        </w:numPr>
        <w:spacing w:after="60" w:line="288" w:lineRule="auto"/>
        <w:ind w:left="960" w:hanging="360"/>
        <w:rPr>
          <w:highlight w:val="none"/>
        </w:rPr>
      </w:pPr>
      <w:r>
        <w:rPr>
          <w:rFonts w:ascii="仿宋_GB2312" w:hAnsi="仿宋_GB2312" w:eastAsia="仿宋_GB2312" w:cs="仿宋_GB2312"/>
          <w:color w:val="000000"/>
          <w:sz w:val="24"/>
          <w:highlight w:val="none"/>
        </w:rPr>
        <w:t>积极响应、贯彻落实高新区“厕所革命”、“烟头革命”、“效能革命”、“以克论净”、“治污减霾”、“生活垃圾分类”等工作的相关要求。</w:t>
      </w:r>
    </w:p>
    <w:p w14:paraId="0C7A98AD">
      <w:pPr>
        <w:pStyle w:val="16"/>
        <w:numPr>
          <w:ilvl w:val="0"/>
          <w:numId w:val="17"/>
        </w:numPr>
        <w:spacing w:after="60" w:line="288" w:lineRule="auto"/>
        <w:ind w:left="960" w:hanging="360"/>
        <w:rPr>
          <w:highlight w:val="none"/>
        </w:rPr>
      </w:pPr>
      <w:r>
        <w:rPr>
          <w:rFonts w:ascii="仿宋_GB2312" w:hAnsi="仿宋_GB2312" w:eastAsia="仿宋_GB2312" w:cs="仿宋_GB2312"/>
          <w:color w:val="000000"/>
          <w:sz w:val="24"/>
          <w:highlight w:val="none"/>
        </w:rPr>
        <w:t>清理垃圾、野广告、城乡结合部生活垃圾相关费用包含在单平米报价费用内，不做单独支付，乙方在日常巡检中发现上述问题须自行及时处理。</w:t>
      </w:r>
    </w:p>
    <w:p w14:paraId="4CEBA00B">
      <w:pPr>
        <w:pStyle w:val="16"/>
        <w:numPr>
          <w:ilvl w:val="0"/>
          <w:numId w:val="17"/>
        </w:numPr>
        <w:spacing w:after="60" w:line="288" w:lineRule="auto"/>
        <w:ind w:left="960" w:hanging="360"/>
        <w:rPr>
          <w:highlight w:val="none"/>
        </w:rPr>
      </w:pPr>
      <w:r>
        <w:rPr>
          <w:rFonts w:ascii="仿宋_GB2312" w:hAnsi="仿宋_GB2312" w:eastAsia="仿宋_GB2312" w:cs="仿宋_GB2312"/>
          <w:color w:val="000000"/>
          <w:sz w:val="24"/>
          <w:highlight w:val="none"/>
        </w:rPr>
        <w:t>乙方须配备三支应急队伍，每支应急队伍不少于20名精干人员，配备相应的应急车辆和应急工具，处理应急事件，应急预案启动时，甲方有权调派使用，处理非本项目整改问题的相关费用另行计算，不包含在本项目承包费用中。</w:t>
      </w:r>
    </w:p>
    <w:p w14:paraId="160C78B6">
      <w:pPr>
        <w:pStyle w:val="16"/>
        <w:numPr>
          <w:ilvl w:val="0"/>
          <w:numId w:val="17"/>
        </w:numPr>
        <w:spacing w:after="60" w:line="288" w:lineRule="auto"/>
        <w:ind w:left="960" w:hanging="360"/>
        <w:rPr>
          <w:highlight w:val="none"/>
        </w:rPr>
      </w:pPr>
      <w:r>
        <w:rPr>
          <w:rFonts w:ascii="仿宋_GB2312" w:hAnsi="仿宋_GB2312" w:eastAsia="仿宋_GB2312" w:cs="仿宋_GB2312"/>
          <w:color w:val="000000"/>
          <w:sz w:val="24"/>
          <w:highlight w:val="none"/>
        </w:rPr>
        <w:t>绿化养护苗木用水应节约，多采用喷灌、淋灌。养护设备应符合国家园林、绿化有关规范和标准。生产物资（肥料、农药等）所选材料必须保证质量可靠，符合国家和高新区相关标准，满足养护要求。绿化养护作业使用农药、肥料的采购、保管、使用，肥料包装废弃物的回收处理符合西安高新区《农药管理条例》。</w:t>
      </w:r>
    </w:p>
    <w:p w14:paraId="3BE0B20B">
      <w:pPr>
        <w:pStyle w:val="16"/>
        <w:numPr>
          <w:ilvl w:val="0"/>
          <w:numId w:val="17"/>
        </w:numPr>
        <w:spacing w:after="60" w:line="288" w:lineRule="auto"/>
        <w:ind w:left="960" w:hanging="360"/>
        <w:rPr>
          <w:highlight w:val="none"/>
        </w:rPr>
      </w:pPr>
      <w:r>
        <w:rPr>
          <w:rFonts w:ascii="仿宋_GB2312" w:hAnsi="仿宋_GB2312" w:eastAsia="仿宋_GB2312" w:cs="仿宋_GB2312"/>
          <w:color w:val="000000"/>
          <w:sz w:val="24"/>
          <w:highlight w:val="none"/>
        </w:rPr>
        <w:t>严格执行生活垃圾分类运输规定，建立可追溯的清运台账，严禁混装混运，严禁将生活垃圾与其他类型垃圾混合运输。</w:t>
      </w:r>
    </w:p>
    <w:p w14:paraId="49BAAFCF">
      <w:pPr>
        <w:pStyle w:val="6"/>
        <w:keepNext w:val="0"/>
        <w:keepLines w:val="0"/>
        <w:pageBreakBefore w:val="0"/>
        <w:spacing w:before="187" w:after="112" w:line="288" w:lineRule="auto"/>
        <w:outlineLvl w:val="1"/>
        <w:rPr>
          <w:highlight w:val="none"/>
        </w:rPr>
      </w:pPr>
      <w:r>
        <w:rPr>
          <w:rFonts w:ascii="黑体" w:hAnsi="黑体" w:eastAsia="黑体" w:cs="黑体"/>
          <w:b/>
          <w:color w:val="000000"/>
          <w:sz w:val="27"/>
          <w:highlight w:val="none"/>
        </w:rPr>
        <w:t>第五章 合同的变更、解除或终止</w:t>
      </w:r>
    </w:p>
    <w:p w14:paraId="7D1BF0E8">
      <w:pPr>
        <w:spacing w:after="90" w:line="288" w:lineRule="auto"/>
        <w:ind w:firstLine="480"/>
        <w:jc w:val="both"/>
        <w:rPr>
          <w:highlight w:val="none"/>
        </w:rPr>
      </w:pPr>
      <w:r>
        <w:rPr>
          <w:rFonts w:ascii="仿宋_GB2312" w:hAnsi="仿宋_GB2312" w:eastAsia="仿宋_GB2312" w:cs="仿宋_GB2312"/>
          <w:b/>
          <w:color w:val="000000"/>
          <w:sz w:val="24"/>
          <w:highlight w:val="none"/>
        </w:rPr>
        <w:t>第十一条</w:t>
      </w:r>
      <w:r>
        <w:rPr>
          <w:rFonts w:ascii="仿宋_GB2312" w:hAnsi="仿宋_GB2312" w:eastAsia="仿宋_GB2312" w:cs="仿宋_GB2312"/>
          <w:color w:val="000000"/>
          <w:sz w:val="24"/>
          <w:highlight w:val="none"/>
        </w:rPr>
        <w:t xml:space="preserve"> 本合同需要变更或解除时，须经双方协商一致达成新的书面协议，在新的书面协议未达成之前，本合同依然有效。</w:t>
      </w:r>
    </w:p>
    <w:p w14:paraId="5C7D4F75">
      <w:pPr>
        <w:spacing w:after="90" w:line="288" w:lineRule="auto"/>
        <w:ind w:firstLine="480"/>
        <w:jc w:val="both"/>
        <w:rPr>
          <w:highlight w:val="none"/>
        </w:rPr>
      </w:pPr>
      <w:r>
        <w:rPr>
          <w:rFonts w:ascii="仿宋_GB2312" w:hAnsi="仿宋_GB2312" w:eastAsia="仿宋_GB2312" w:cs="仿宋_GB2312"/>
          <w:b/>
          <w:color w:val="000000"/>
          <w:sz w:val="24"/>
          <w:highlight w:val="none"/>
        </w:rPr>
        <w:t>第十二条</w:t>
      </w:r>
      <w:r>
        <w:rPr>
          <w:rFonts w:ascii="仿宋_GB2312" w:hAnsi="仿宋_GB2312" w:eastAsia="仿宋_GB2312" w:cs="仿宋_GB2312"/>
          <w:color w:val="000000"/>
          <w:sz w:val="24"/>
          <w:highlight w:val="none"/>
        </w:rPr>
        <w:t xml:space="preserve"> 本合同履行期间，如国家有关政策与本合同签订时相比使发包方、承包方任何一方利益受到重大影响，受影响的一方需提前一个月提出变更或解除本合同。</w:t>
      </w:r>
    </w:p>
    <w:p w14:paraId="72144C9A">
      <w:pPr>
        <w:spacing w:after="90" w:line="288" w:lineRule="auto"/>
        <w:ind w:firstLine="480"/>
        <w:jc w:val="both"/>
        <w:rPr>
          <w:highlight w:val="none"/>
        </w:rPr>
      </w:pPr>
      <w:r>
        <w:rPr>
          <w:rFonts w:ascii="仿宋_GB2312" w:hAnsi="仿宋_GB2312" w:eastAsia="仿宋_GB2312" w:cs="仿宋_GB2312"/>
          <w:b/>
          <w:color w:val="000000"/>
          <w:sz w:val="24"/>
          <w:highlight w:val="none"/>
        </w:rPr>
        <w:t>第十三条</w:t>
      </w:r>
      <w:r>
        <w:rPr>
          <w:rFonts w:ascii="仿宋_GB2312" w:hAnsi="仿宋_GB2312" w:eastAsia="仿宋_GB2312" w:cs="仿宋_GB2312"/>
          <w:color w:val="000000"/>
          <w:sz w:val="24"/>
          <w:highlight w:val="none"/>
        </w:rPr>
        <w:t xml:space="preserve"> 乙方如管理不善或严重失误导致国有资产无法使用并造成重大损失的，甲方有权收回资产，不负违约责任，并保留向乙方要求赔偿损失的权利。如果造成重大损失，则按照实际产生的经济损失要求乙方赔偿。</w:t>
      </w:r>
    </w:p>
    <w:p w14:paraId="1DE87273">
      <w:pPr>
        <w:spacing w:after="90" w:line="288" w:lineRule="auto"/>
        <w:ind w:firstLine="480"/>
        <w:jc w:val="both"/>
        <w:rPr>
          <w:highlight w:val="none"/>
        </w:rPr>
      </w:pPr>
      <w:r>
        <w:rPr>
          <w:rFonts w:ascii="仿宋_GB2312" w:hAnsi="仿宋_GB2312" w:eastAsia="仿宋_GB2312" w:cs="仿宋_GB2312"/>
          <w:b/>
          <w:color w:val="000000"/>
          <w:sz w:val="24"/>
          <w:highlight w:val="none"/>
        </w:rPr>
        <w:t>第十四条</w:t>
      </w:r>
      <w:r>
        <w:rPr>
          <w:rFonts w:ascii="仿宋_GB2312" w:hAnsi="仿宋_GB2312" w:eastAsia="仿宋_GB2312" w:cs="仿宋_GB2312"/>
          <w:color w:val="000000"/>
          <w:sz w:val="24"/>
          <w:highlight w:val="none"/>
        </w:rPr>
        <w:t xml:space="preserve"> 乙方应严格按照国家、省市相关政策法规执行劳资、劳保、安全等制度，并高度重视维稳工作，如出现乙方员工队伍不稳定、上访等事件，同时造成工作或舆论影响的，甲方有权解除合同。</w:t>
      </w:r>
    </w:p>
    <w:p w14:paraId="2A6D8DBC">
      <w:pPr>
        <w:spacing w:after="90" w:line="288" w:lineRule="auto"/>
        <w:ind w:firstLine="480"/>
        <w:jc w:val="both"/>
        <w:rPr>
          <w:highlight w:val="none"/>
        </w:rPr>
      </w:pPr>
      <w:r>
        <w:rPr>
          <w:rFonts w:ascii="仿宋_GB2312" w:hAnsi="仿宋_GB2312" w:eastAsia="仿宋_GB2312" w:cs="仿宋_GB2312"/>
          <w:b/>
          <w:color w:val="000000"/>
          <w:sz w:val="24"/>
          <w:highlight w:val="none"/>
        </w:rPr>
        <w:t>第十五条</w:t>
      </w:r>
      <w:r>
        <w:rPr>
          <w:rFonts w:ascii="仿宋_GB2312" w:hAnsi="仿宋_GB2312" w:eastAsia="仿宋_GB2312" w:cs="仿宋_GB2312"/>
          <w:color w:val="000000"/>
          <w:sz w:val="24"/>
          <w:highlight w:val="none"/>
        </w:rPr>
        <w:t xml:space="preserve"> 乙方不能足额安排人员或有意克扣人员工资、福利时（或因甲方扣除乙方承包费而乙方额外扣除作业人员工资及劳保福利等），乙方必须在一日内上齐补足，若不按期补足，甲方有权介入处理。情节严重时甲方有权使用承包费用直接支付工人工资。</w:t>
      </w:r>
    </w:p>
    <w:p w14:paraId="636B262E">
      <w:pPr>
        <w:spacing w:after="90" w:line="288" w:lineRule="auto"/>
        <w:ind w:firstLine="480"/>
        <w:jc w:val="both"/>
        <w:rPr>
          <w:highlight w:val="none"/>
        </w:rPr>
      </w:pPr>
      <w:r>
        <w:rPr>
          <w:rFonts w:ascii="仿宋_GB2312" w:hAnsi="仿宋_GB2312" w:eastAsia="仿宋_GB2312" w:cs="仿宋_GB2312"/>
          <w:b/>
          <w:color w:val="000000"/>
          <w:sz w:val="24"/>
          <w:highlight w:val="none"/>
        </w:rPr>
        <w:t>第十六条</w:t>
      </w:r>
      <w:r>
        <w:rPr>
          <w:rFonts w:ascii="仿宋_GB2312" w:hAnsi="仿宋_GB2312" w:eastAsia="仿宋_GB2312" w:cs="仿宋_GB2312"/>
          <w:color w:val="000000"/>
          <w:sz w:val="24"/>
          <w:highlight w:val="none"/>
        </w:rPr>
        <w:t xml:space="preserve"> 乙方连续两个月质量考核不达标，甲方有权解除合同。</w:t>
      </w:r>
    </w:p>
    <w:p w14:paraId="0C6421A2">
      <w:pPr>
        <w:spacing w:after="90" w:line="288" w:lineRule="auto"/>
        <w:ind w:firstLine="480"/>
        <w:jc w:val="both"/>
        <w:rPr>
          <w:highlight w:val="none"/>
        </w:rPr>
      </w:pPr>
      <w:r>
        <w:rPr>
          <w:rFonts w:ascii="仿宋_GB2312" w:hAnsi="仿宋_GB2312" w:eastAsia="仿宋_GB2312" w:cs="仿宋_GB2312"/>
          <w:b/>
          <w:color w:val="000000"/>
          <w:sz w:val="24"/>
          <w:highlight w:val="none"/>
        </w:rPr>
        <w:t>第十七条</w:t>
      </w:r>
      <w:r>
        <w:rPr>
          <w:rFonts w:ascii="仿宋_GB2312" w:hAnsi="仿宋_GB2312" w:eastAsia="仿宋_GB2312" w:cs="仿宋_GB2312"/>
          <w:color w:val="000000"/>
          <w:sz w:val="24"/>
          <w:highlight w:val="none"/>
        </w:rPr>
        <w:t xml:space="preserve"> 乙方连续两个月未按规定足额安排人员的，甲方有权解除合同。</w:t>
      </w:r>
    </w:p>
    <w:p w14:paraId="1D0BB28F">
      <w:pPr>
        <w:spacing w:after="90" w:line="288" w:lineRule="auto"/>
        <w:ind w:firstLine="480"/>
        <w:jc w:val="both"/>
        <w:rPr>
          <w:highlight w:val="none"/>
        </w:rPr>
      </w:pPr>
      <w:r>
        <w:rPr>
          <w:rFonts w:ascii="仿宋_GB2312" w:hAnsi="仿宋_GB2312" w:eastAsia="仿宋_GB2312" w:cs="仿宋_GB2312"/>
          <w:b/>
          <w:color w:val="000000"/>
          <w:sz w:val="24"/>
          <w:highlight w:val="none"/>
        </w:rPr>
        <w:t>第十八条</w:t>
      </w:r>
      <w:r>
        <w:rPr>
          <w:rFonts w:ascii="仿宋_GB2312" w:hAnsi="仿宋_GB2312" w:eastAsia="仿宋_GB2312" w:cs="仿宋_GB2312"/>
          <w:color w:val="000000"/>
          <w:sz w:val="24"/>
          <w:highlight w:val="none"/>
        </w:rPr>
        <w:t xml:space="preserve"> 由于不可抗力的原因使本合同无法履行或无法完全履行时，甲、乙双方协商一致可以变更或解除本合同。</w:t>
      </w:r>
    </w:p>
    <w:p w14:paraId="032FDF44">
      <w:pPr>
        <w:spacing w:after="90" w:line="288" w:lineRule="auto"/>
        <w:ind w:firstLine="480"/>
        <w:jc w:val="both"/>
        <w:rPr>
          <w:highlight w:val="none"/>
        </w:rPr>
      </w:pPr>
      <w:r>
        <w:rPr>
          <w:rFonts w:ascii="仿宋_GB2312" w:hAnsi="仿宋_GB2312" w:eastAsia="仿宋_GB2312" w:cs="仿宋_GB2312"/>
          <w:b/>
          <w:color w:val="000000"/>
          <w:sz w:val="24"/>
          <w:highlight w:val="none"/>
        </w:rPr>
        <w:t>第十九条</w:t>
      </w:r>
      <w:r>
        <w:rPr>
          <w:rFonts w:ascii="仿宋_GB2312" w:hAnsi="仿宋_GB2312" w:eastAsia="仿宋_GB2312" w:cs="仿宋_GB2312"/>
          <w:color w:val="000000"/>
          <w:sz w:val="24"/>
          <w:highlight w:val="none"/>
        </w:rPr>
        <w:t xml:space="preserve"> 本合同规定的承包期满，甲乙双方的权利、义务履行完毕后，本合同自行终止。</w:t>
      </w:r>
    </w:p>
    <w:p w14:paraId="6B54098A">
      <w:pPr>
        <w:spacing w:after="90" w:line="288" w:lineRule="auto"/>
        <w:ind w:firstLine="480"/>
        <w:jc w:val="both"/>
        <w:rPr>
          <w:highlight w:val="none"/>
        </w:rPr>
      </w:pPr>
      <w:r>
        <w:rPr>
          <w:rFonts w:ascii="仿宋_GB2312" w:hAnsi="仿宋_GB2312" w:eastAsia="仿宋_GB2312" w:cs="仿宋_GB2312"/>
          <w:b/>
          <w:color w:val="000000"/>
          <w:sz w:val="24"/>
          <w:highlight w:val="none"/>
        </w:rPr>
        <w:t>第二十条</w:t>
      </w:r>
      <w:r>
        <w:rPr>
          <w:rFonts w:ascii="仿宋_GB2312" w:hAnsi="仿宋_GB2312" w:eastAsia="仿宋_GB2312" w:cs="仿宋_GB2312"/>
          <w:color w:val="000000"/>
          <w:sz w:val="24"/>
          <w:highlight w:val="none"/>
        </w:rPr>
        <w:t xml:space="preserve"> 因质量原因、服务管理不到位，违反西安高新区“路长制”“烟头革命”“以克论净”“铁腕治霾”“城市综合治理”“生活垃圾分类”管理规定，被媒体曝光，造成重大不良影响的，甲方有权解除合同。</w:t>
      </w:r>
    </w:p>
    <w:p w14:paraId="37D74BC1">
      <w:pPr>
        <w:spacing w:after="90" w:line="288" w:lineRule="auto"/>
        <w:ind w:firstLine="480"/>
        <w:jc w:val="both"/>
        <w:rPr>
          <w:highlight w:val="none"/>
        </w:rPr>
      </w:pPr>
      <w:r>
        <w:rPr>
          <w:rFonts w:ascii="仿宋_GB2312" w:hAnsi="仿宋_GB2312" w:eastAsia="仿宋_GB2312" w:cs="仿宋_GB2312"/>
          <w:b/>
          <w:color w:val="000000"/>
          <w:sz w:val="24"/>
          <w:highlight w:val="none"/>
        </w:rPr>
        <w:t>第二十一条</w:t>
      </w:r>
      <w:r>
        <w:rPr>
          <w:rFonts w:ascii="仿宋_GB2312" w:hAnsi="仿宋_GB2312" w:eastAsia="仿宋_GB2312" w:cs="仿宋_GB2312"/>
          <w:color w:val="000000"/>
          <w:sz w:val="24"/>
          <w:highlight w:val="none"/>
        </w:rPr>
        <w:t xml:space="preserve"> 由于工作失误造成的安全事故，对社会稳定性产生恶劣影响的，甲方有权解除合同。</w:t>
      </w:r>
    </w:p>
    <w:p w14:paraId="66D6FB8E">
      <w:pPr>
        <w:spacing w:after="90" w:line="288" w:lineRule="auto"/>
        <w:ind w:firstLine="480"/>
        <w:jc w:val="both"/>
        <w:rPr>
          <w:highlight w:val="none"/>
        </w:rPr>
      </w:pPr>
      <w:r>
        <w:rPr>
          <w:rFonts w:ascii="仿宋_GB2312" w:hAnsi="仿宋_GB2312" w:eastAsia="仿宋_GB2312" w:cs="仿宋_GB2312"/>
          <w:b/>
          <w:color w:val="000000"/>
          <w:sz w:val="24"/>
          <w:highlight w:val="none"/>
        </w:rPr>
        <w:t>第二十二条</w:t>
      </w:r>
      <w:r>
        <w:rPr>
          <w:rFonts w:ascii="仿宋_GB2312" w:hAnsi="仿宋_GB2312" w:eastAsia="仿宋_GB2312" w:cs="仿宋_GB2312"/>
          <w:color w:val="000000"/>
          <w:sz w:val="24"/>
          <w:highlight w:val="none"/>
        </w:rPr>
        <w:t xml:space="preserve"> 本合同一切解释权归甲方所有。</w:t>
      </w:r>
    </w:p>
    <w:p w14:paraId="4E97293A">
      <w:pPr>
        <w:pStyle w:val="6"/>
        <w:keepNext w:val="0"/>
        <w:keepLines w:val="0"/>
        <w:pageBreakBefore w:val="0"/>
        <w:spacing w:before="187" w:after="112" w:line="288" w:lineRule="auto"/>
        <w:outlineLvl w:val="1"/>
        <w:rPr>
          <w:highlight w:val="none"/>
        </w:rPr>
      </w:pPr>
      <w:r>
        <w:rPr>
          <w:rFonts w:ascii="黑体" w:hAnsi="黑体" w:eastAsia="黑体" w:cs="黑体"/>
          <w:b/>
          <w:color w:val="000000"/>
          <w:sz w:val="27"/>
          <w:highlight w:val="none"/>
        </w:rPr>
        <w:t>第六章 违约责任</w:t>
      </w:r>
    </w:p>
    <w:p w14:paraId="6064F98C">
      <w:pPr>
        <w:spacing w:after="90" w:line="288" w:lineRule="auto"/>
        <w:ind w:firstLine="480"/>
        <w:jc w:val="both"/>
        <w:rPr>
          <w:highlight w:val="none"/>
        </w:rPr>
      </w:pPr>
      <w:r>
        <w:rPr>
          <w:rFonts w:ascii="仿宋_GB2312" w:hAnsi="仿宋_GB2312" w:eastAsia="仿宋_GB2312" w:cs="仿宋_GB2312"/>
          <w:b/>
          <w:color w:val="000000"/>
          <w:sz w:val="24"/>
          <w:highlight w:val="none"/>
        </w:rPr>
        <w:t>第二十三条</w:t>
      </w:r>
      <w:r>
        <w:rPr>
          <w:rFonts w:ascii="仿宋_GB2312" w:hAnsi="仿宋_GB2312" w:eastAsia="仿宋_GB2312" w:cs="仿宋_GB2312"/>
          <w:color w:val="000000"/>
          <w:sz w:val="24"/>
          <w:highlight w:val="none"/>
        </w:rPr>
        <w:t xml:space="preserve"> 甲、乙双方在履行本合同中产生争议，双方应当先行协商。协商不成的，任一方可申请仲裁或向人民法院提起诉讼。</w:t>
      </w:r>
    </w:p>
    <w:p w14:paraId="3FF37A5E">
      <w:pPr>
        <w:spacing w:after="90" w:line="288" w:lineRule="auto"/>
        <w:ind w:firstLine="480"/>
        <w:jc w:val="both"/>
        <w:rPr>
          <w:highlight w:val="none"/>
        </w:rPr>
      </w:pPr>
      <w:r>
        <w:rPr>
          <w:rFonts w:ascii="仿宋_GB2312" w:hAnsi="仿宋_GB2312" w:eastAsia="仿宋_GB2312" w:cs="仿宋_GB2312"/>
          <w:b/>
          <w:color w:val="000000"/>
          <w:sz w:val="24"/>
          <w:highlight w:val="none"/>
        </w:rPr>
        <w:t>第二十四条</w:t>
      </w:r>
      <w:r>
        <w:rPr>
          <w:rFonts w:ascii="仿宋_GB2312" w:hAnsi="仿宋_GB2312" w:eastAsia="仿宋_GB2312" w:cs="仿宋_GB2312"/>
          <w:color w:val="000000"/>
          <w:sz w:val="24"/>
          <w:highlight w:val="none"/>
        </w:rPr>
        <w:t xml:space="preserve"> 因乙方行为违约造成甲方利益受到侵害或造成社会影响的，甲方有权要求乙方在一定期限内解决，逾期不解决的，甲方有权终止合同。造成甲方经济损失的，乙方应给予甲方相应的经济赔偿。</w:t>
      </w:r>
    </w:p>
    <w:p w14:paraId="1E13666B">
      <w:pPr>
        <w:spacing w:after="90" w:line="288" w:lineRule="auto"/>
        <w:ind w:firstLine="480"/>
        <w:jc w:val="both"/>
        <w:rPr>
          <w:highlight w:val="none"/>
        </w:rPr>
      </w:pPr>
    </w:p>
    <w:p w14:paraId="30A5FFCF">
      <w:pPr>
        <w:spacing w:after="90" w:line="288" w:lineRule="auto"/>
        <w:ind w:firstLine="480"/>
        <w:jc w:val="both"/>
        <w:rPr>
          <w:highlight w:val="none"/>
        </w:rPr>
      </w:pPr>
      <w:r>
        <w:rPr>
          <w:rFonts w:ascii="仿宋_GB2312" w:hAnsi="仿宋_GB2312" w:eastAsia="仿宋_GB2312" w:cs="仿宋_GB2312"/>
          <w:b/>
          <w:color w:val="000000"/>
          <w:sz w:val="24"/>
          <w:highlight w:val="none"/>
        </w:rPr>
        <w:t>第二十五条</w:t>
      </w:r>
      <w:r>
        <w:rPr>
          <w:rFonts w:ascii="仿宋_GB2312" w:hAnsi="仿宋_GB2312" w:eastAsia="仿宋_GB2312" w:cs="仿宋_GB2312"/>
          <w:color w:val="000000"/>
          <w:sz w:val="24"/>
          <w:highlight w:val="none"/>
        </w:rPr>
        <w:t xml:space="preserve"> 因甲方行为违约导致乙方未能完成管理服务内容和质量标准的，乙方有权要求甲方在一定期限内解决，逾期不解决的，乙方有权终止合同。造成乙方经济损失的，甲方应给予乙方相应的经济赔偿。</w:t>
      </w:r>
    </w:p>
    <w:p w14:paraId="17E8AC9D">
      <w:pPr>
        <w:spacing w:after="90" w:line="288" w:lineRule="auto"/>
        <w:ind w:firstLine="480"/>
        <w:jc w:val="both"/>
        <w:rPr>
          <w:highlight w:val="none"/>
        </w:rPr>
      </w:pPr>
      <w:r>
        <w:rPr>
          <w:rFonts w:ascii="仿宋_GB2312" w:hAnsi="仿宋_GB2312" w:eastAsia="仿宋_GB2312" w:cs="仿宋_GB2312"/>
          <w:b/>
          <w:color w:val="000000"/>
          <w:sz w:val="24"/>
          <w:highlight w:val="none"/>
        </w:rPr>
        <w:t>第二十六条</w:t>
      </w:r>
      <w:r>
        <w:rPr>
          <w:rFonts w:hint="eastAsia" w:ascii="仿宋_GB2312" w:hAnsi="仿宋_GB2312" w:eastAsia="仿宋_GB2312" w:cs="仿宋_GB2312"/>
          <w:b/>
          <w:color w:val="000000"/>
          <w:sz w:val="24"/>
          <w:highlight w:val="none"/>
          <w:lang w:val="en-US" w:eastAsia="zh-CN"/>
        </w:rPr>
        <w:t xml:space="preserve"> </w:t>
      </w:r>
      <w:r>
        <w:rPr>
          <w:rFonts w:ascii="仿宋_GB2312" w:hAnsi="仿宋_GB2312" w:eastAsia="仿宋_GB2312" w:cs="仿宋_GB2312"/>
          <w:color w:val="000000"/>
          <w:sz w:val="24"/>
          <w:highlight w:val="none"/>
        </w:rPr>
        <w:t>因乙方服务质量不达标或工作不到位，甲方下达整改通知，乙方无故不及时响应的，甲方有权指派其他单位进行整改，整改产生的一切费用均由乙方承担，乙方拒不承担时甲方有权使用承包费用直接进行结算。</w:t>
      </w:r>
    </w:p>
    <w:p w14:paraId="4CEFF52D">
      <w:pPr>
        <w:pStyle w:val="6"/>
        <w:keepNext w:val="0"/>
        <w:keepLines w:val="0"/>
        <w:pageBreakBefore w:val="0"/>
        <w:spacing w:before="187" w:after="112" w:line="288" w:lineRule="auto"/>
        <w:outlineLvl w:val="1"/>
        <w:rPr>
          <w:highlight w:val="none"/>
        </w:rPr>
      </w:pPr>
      <w:r>
        <w:rPr>
          <w:rFonts w:ascii="黑体" w:hAnsi="黑体" w:eastAsia="黑体" w:cs="黑体"/>
          <w:b/>
          <w:color w:val="000000"/>
          <w:sz w:val="27"/>
          <w:highlight w:val="none"/>
        </w:rPr>
        <w:t>第七章 附 则</w:t>
      </w:r>
    </w:p>
    <w:p w14:paraId="244A427A">
      <w:pPr>
        <w:spacing w:after="90" w:line="288" w:lineRule="auto"/>
        <w:ind w:firstLine="480"/>
        <w:jc w:val="both"/>
        <w:rPr>
          <w:highlight w:val="none"/>
        </w:rPr>
      </w:pPr>
      <w:r>
        <w:rPr>
          <w:rFonts w:ascii="仿宋_GB2312" w:hAnsi="仿宋_GB2312" w:eastAsia="仿宋_GB2312" w:cs="仿宋_GB2312"/>
          <w:b/>
          <w:color w:val="000000"/>
          <w:sz w:val="24"/>
          <w:highlight w:val="none"/>
        </w:rPr>
        <w:t>第二十八条</w:t>
      </w:r>
      <w:r>
        <w:rPr>
          <w:rFonts w:ascii="仿宋_GB2312" w:hAnsi="仿宋_GB2312" w:eastAsia="仿宋_GB2312" w:cs="仿宋_GB2312"/>
          <w:color w:val="000000"/>
          <w:sz w:val="24"/>
          <w:highlight w:val="none"/>
        </w:rPr>
        <w:t xml:space="preserve"> 乙方须优先考虑原有承包区域的作业人员劳动就业，在不违反其公司制度的情况下不得无故辞退。乙方作为独立法人的公司，在合同期内产生的劳动争议、安全事故及经济纠纷需自行独立予以解决。</w:t>
      </w:r>
    </w:p>
    <w:p w14:paraId="31A1B4B9">
      <w:pPr>
        <w:spacing w:after="90" w:line="288" w:lineRule="auto"/>
        <w:ind w:firstLine="480"/>
        <w:jc w:val="both"/>
        <w:rPr>
          <w:highlight w:val="none"/>
        </w:rPr>
      </w:pPr>
      <w:r>
        <w:rPr>
          <w:rFonts w:ascii="仿宋_GB2312" w:hAnsi="仿宋_GB2312" w:eastAsia="仿宋_GB2312" w:cs="仿宋_GB2312"/>
          <w:b/>
          <w:color w:val="000000"/>
          <w:sz w:val="24"/>
          <w:highlight w:val="none"/>
        </w:rPr>
        <w:t>第二十九条</w:t>
      </w:r>
      <w:r>
        <w:rPr>
          <w:rFonts w:ascii="仿宋_GB2312" w:hAnsi="仿宋_GB2312" w:eastAsia="仿宋_GB2312" w:cs="仿宋_GB2312"/>
          <w:color w:val="000000"/>
          <w:sz w:val="24"/>
          <w:highlight w:val="none"/>
        </w:rPr>
        <w:t xml:space="preserve"> 本合同由甲乙双方代表签字后生效，合同期满后自动失效。</w:t>
      </w:r>
    </w:p>
    <w:p w14:paraId="60EFF0B5">
      <w:pPr>
        <w:spacing w:after="90" w:line="288" w:lineRule="auto"/>
        <w:ind w:firstLine="480"/>
        <w:jc w:val="both"/>
        <w:rPr>
          <w:highlight w:val="none"/>
        </w:rPr>
      </w:pPr>
      <w:r>
        <w:rPr>
          <w:rFonts w:ascii="仿宋_GB2312" w:hAnsi="仿宋_GB2312" w:eastAsia="仿宋_GB2312" w:cs="仿宋_GB2312"/>
          <w:b/>
          <w:color w:val="000000"/>
          <w:sz w:val="24"/>
          <w:highlight w:val="none"/>
        </w:rPr>
        <w:t>第三十条</w:t>
      </w:r>
      <w:r>
        <w:rPr>
          <w:rFonts w:ascii="仿宋_GB2312" w:hAnsi="仿宋_GB2312" w:eastAsia="仿宋_GB2312" w:cs="仿宋_GB2312"/>
          <w:color w:val="000000"/>
          <w:sz w:val="24"/>
          <w:highlight w:val="none"/>
        </w:rPr>
        <w:t xml:space="preserve"> </w:t>
      </w:r>
    </w:p>
    <w:p w14:paraId="33EB6221">
      <w:pPr>
        <w:spacing w:after="90" w:line="288" w:lineRule="auto"/>
        <w:ind w:firstLine="480"/>
        <w:jc w:val="both"/>
        <w:rPr>
          <w:highlight w:val="none"/>
        </w:rPr>
      </w:pPr>
      <w:r>
        <w:rPr>
          <w:rFonts w:ascii="仿宋_GB2312" w:hAnsi="仿宋_GB2312" w:eastAsia="仿宋_GB2312" w:cs="仿宋_GB2312"/>
          <w:b/>
          <w:color w:val="000000"/>
          <w:sz w:val="24"/>
          <w:highlight w:val="none"/>
        </w:rPr>
        <w:t>第三十一条</w:t>
      </w:r>
      <w:r>
        <w:rPr>
          <w:rFonts w:ascii="仿宋_GB2312" w:hAnsi="仿宋_GB2312" w:eastAsia="仿宋_GB2312" w:cs="仿宋_GB2312"/>
          <w:color w:val="000000"/>
          <w:sz w:val="24"/>
          <w:highlight w:val="none"/>
        </w:rPr>
        <w:t xml:space="preserve"> 本合同一式</w:t>
      </w:r>
      <w:r>
        <w:rPr>
          <w:rFonts w:hint="eastAsia" w:ascii="仿宋_GB2312" w:hAnsi="仿宋_GB2312" w:eastAsia="仿宋_GB2312" w:cs="仿宋_GB2312"/>
          <w:color w:val="000000"/>
          <w:sz w:val="24"/>
          <w:highlight w:val="none"/>
          <w:lang w:val="en-US" w:eastAsia="zh-CN"/>
        </w:rPr>
        <w:t>肆</w:t>
      </w:r>
      <w:r>
        <w:rPr>
          <w:rFonts w:ascii="仿宋_GB2312" w:hAnsi="仿宋_GB2312" w:eastAsia="仿宋_GB2312" w:cs="仿宋_GB2312"/>
          <w:color w:val="000000"/>
          <w:sz w:val="24"/>
          <w:highlight w:val="none"/>
        </w:rPr>
        <w:t>份，甲、方各执</w:t>
      </w:r>
      <w:r>
        <w:rPr>
          <w:rFonts w:hint="eastAsia" w:ascii="仿宋_GB2312" w:hAnsi="仿宋_GB2312" w:eastAsia="仿宋_GB2312" w:cs="仿宋_GB2312"/>
          <w:color w:val="000000"/>
          <w:sz w:val="24"/>
          <w:highlight w:val="none"/>
          <w:lang w:val="en-US" w:eastAsia="zh-CN"/>
        </w:rPr>
        <w:t>叁份、乙方</w:t>
      </w:r>
      <w:r>
        <w:rPr>
          <w:rFonts w:ascii="仿宋_GB2312" w:hAnsi="仿宋_GB2312" w:eastAsia="仿宋_GB2312" w:cs="仿宋_GB2312"/>
          <w:color w:val="000000"/>
          <w:sz w:val="24"/>
          <w:highlight w:val="none"/>
        </w:rPr>
        <w:t>执</w:t>
      </w:r>
      <w:r>
        <w:rPr>
          <w:rFonts w:hint="eastAsia" w:ascii="仿宋_GB2312" w:hAnsi="仿宋_GB2312" w:eastAsia="仿宋_GB2312" w:cs="仿宋_GB2312"/>
          <w:color w:val="000000"/>
          <w:sz w:val="24"/>
          <w:highlight w:val="none"/>
          <w:lang w:val="en-US" w:eastAsia="zh-CN"/>
        </w:rPr>
        <w:t>壹份</w:t>
      </w:r>
      <w:r>
        <w:rPr>
          <w:rFonts w:ascii="仿宋_GB2312" w:hAnsi="仿宋_GB2312" w:eastAsia="仿宋_GB2312" w:cs="仿宋_GB2312"/>
          <w:color w:val="000000"/>
          <w:sz w:val="24"/>
          <w:highlight w:val="none"/>
        </w:rPr>
        <w:t>。</w:t>
      </w:r>
    </w:p>
    <w:tbl>
      <w:tblPr>
        <w:tblStyle w:val="37"/>
        <w:tblW w:w="86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320"/>
        <w:gridCol w:w="4320"/>
      </w:tblGrid>
      <w:tr w14:paraId="2E3EE2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320" w:type="dxa"/>
            <w:tcMar>
              <w:top w:w="67" w:type="dxa"/>
              <w:left w:w="0" w:type="dxa"/>
              <w:bottom w:w="67" w:type="dxa"/>
              <w:right w:w="0" w:type="dxa"/>
            </w:tcMar>
            <w:vAlign w:val="top"/>
          </w:tcPr>
          <w:p w14:paraId="4EDAF282">
            <w:pPr>
              <w:spacing w:after="90" w:line="288" w:lineRule="auto"/>
              <w:ind w:firstLine="480"/>
              <w:jc w:val="both"/>
              <w:rPr>
                <w:highlight w:val="none"/>
              </w:rPr>
            </w:pPr>
            <w:r>
              <w:rPr>
                <w:rFonts w:ascii="仿宋_GB2312" w:hAnsi="仿宋_GB2312" w:eastAsia="仿宋_GB2312" w:cs="仿宋_GB2312"/>
                <w:color w:val="000000"/>
                <w:sz w:val="24"/>
                <w:highlight w:val="none"/>
              </w:rPr>
              <w:t>甲方（盖章）：</w:t>
            </w:r>
          </w:p>
          <w:p w14:paraId="49B75205">
            <w:pPr>
              <w:spacing w:after="90" w:line="288" w:lineRule="auto"/>
              <w:ind w:firstLine="480"/>
              <w:jc w:val="both"/>
              <w:rPr>
                <w:highlight w:val="none"/>
              </w:rPr>
            </w:pPr>
            <w:r>
              <w:rPr>
                <w:rFonts w:ascii="仿宋_GB2312" w:hAnsi="仿宋_GB2312" w:eastAsia="仿宋_GB2312" w:cs="仿宋_GB2312"/>
                <w:color w:val="000000"/>
                <w:sz w:val="24"/>
                <w:highlight w:val="none"/>
              </w:rPr>
              <w:t>法人代表或委托代理人</w:t>
            </w:r>
          </w:p>
          <w:p w14:paraId="472B7E83">
            <w:pPr>
              <w:spacing w:after="90" w:line="288" w:lineRule="auto"/>
              <w:ind w:firstLine="480"/>
              <w:jc w:val="both"/>
              <w:rPr>
                <w:highlight w:val="none"/>
              </w:rPr>
            </w:pPr>
            <w:r>
              <w:rPr>
                <w:rFonts w:ascii="仿宋_GB2312" w:hAnsi="仿宋_GB2312" w:eastAsia="仿宋_GB2312" w:cs="仿宋_GB2312"/>
                <w:color w:val="000000"/>
                <w:sz w:val="24"/>
                <w:highlight w:val="none"/>
              </w:rPr>
              <w:t>（签字或盖章）：________________________</w:t>
            </w:r>
          </w:p>
          <w:p w14:paraId="2CF5BD16">
            <w:pPr>
              <w:spacing w:after="90" w:line="288" w:lineRule="auto"/>
              <w:ind w:firstLine="480"/>
              <w:jc w:val="both"/>
              <w:rPr>
                <w:highlight w:val="none"/>
              </w:rPr>
            </w:pPr>
            <w:r>
              <w:rPr>
                <w:rFonts w:ascii="仿宋_GB2312" w:hAnsi="仿宋_GB2312" w:eastAsia="仿宋_GB2312" w:cs="仿宋_GB2312"/>
                <w:color w:val="000000"/>
                <w:sz w:val="24"/>
                <w:highlight w:val="none"/>
              </w:rPr>
              <w:t>联系电话：________________________</w:t>
            </w:r>
          </w:p>
        </w:tc>
        <w:tc>
          <w:tcPr>
            <w:tcW w:w="4320" w:type="dxa"/>
            <w:tcMar>
              <w:top w:w="67" w:type="dxa"/>
              <w:left w:w="0" w:type="dxa"/>
              <w:bottom w:w="67" w:type="dxa"/>
              <w:right w:w="0" w:type="dxa"/>
            </w:tcMar>
            <w:vAlign w:val="top"/>
          </w:tcPr>
          <w:p w14:paraId="3D2821B7">
            <w:pPr>
              <w:spacing w:after="90" w:line="288" w:lineRule="auto"/>
              <w:ind w:firstLine="480"/>
              <w:jc w:val="both"/>
              <w:rPr>
                <w:highlight w:val="none"/>
              </w:rPr>
            </w:pPr>
            <w:r>
              <w:rPr>
                <w:rFonts w:ascii="仿宋_GB2312" w:hAnsi="仿宋_GB2312" w:eastAsia="仿宋_GB2312" w:cs="仿宋_GB2312"/>
                <w:color w:val="000000"/>
                <w:sz w:val="24"/>
                <w:highlight w:val="none"/>
              </w:rPr>
              <w:t>乙方（盖章）：</w:t>
            </w:r>
          </w:p>
          <w:p w14:paraId="088A3ADD">
            <w:pPr>
              <w:spacing w:after="90" w:line="288" w:lineRule="auto"/>
              <w:ind w:firstLine="480"/>
              <w:jc w:val="both"/>
              <w:rPr>
                <w:highlight w:val="none"/>
              </w:rPr>
            </w:pPr>
            <w:r>
              <w:rPr>
                <w:rFonts w:ascii="仿宋_GB2312" w:hAnsi="仿宋_GB2312" w:eastAsia="仿宋_GB2312" w:cs="仿宋_GB2312"/>
                <w:color w:val="000000"/>
                <w:sz w:val="24"/>
                <w:highlight w:val="none"/>
              </w:rPr>
              <w:t>法人代表或委托代理人</w:t>
            </w:r>
          </w:p>
          <w:p w14:paraId="7DE43446">
            <w:pPr>
              <w:spacing w:after="90" w:line="288" w:lineRule="auto"/>
              <w:ind w:firstLine="480"/>
              <w:jc w:val="both"/>
              <w:rPr>
                <w:highlight w:val="none"/>
              </w:rPr>
            </w:pPr>
            <w:r>
              <w:rPr>
                <w:rFonts w:ascii="仿宋_GB2312" w:hAnsi="仿宋_GB2312" w:eastAsia="仿宋_GB2312" w:cs="仿宋_GB2312"/>
                <w:color w:val="000000"/>
                <w:sz w:val="24"/>
                <w:highlight w:val="none"/>
              </w:rPr>
              <w:t>（签字或盖章）：________________________</w:t>
            </w:r>
          </w:p>
          <w:p w14:paraId="110AC7F9">
            <w:pPr>
              <w:spacing w:after="90" w:line="288" w:lineRule="auto"/>
              <w:ind w:firstLine="480"/>
              <w:jc w:val="both"/>
              <w:rPr>
                <w:highlight w:val="none"/>
              </w:rPr>
            </w:pPr>
            <w:r>
              <w:rPr>
                <w:rFonts w:ascii="仿宋_GB2312" w:hAnsi="仿宋_GB2312" w:eastAsia="仿宋_GB2312" w:cs="仿宋_GB2312"/>
                <w:color w:val="000000"/>
                <w:sz w:val="24"/>
                <w:highlight w:val="none"/>
              </w:rPr>
              <w:t>联系电话：________________________</w:t>
            </w:r>
          </w:p>
        </w:tc>
      </w:tr>
    </w:tbl>
    <w:p w14:paraId="387AB856">
      <w:pPr>
        <w:spacing w:after="90" w:line="288" w:lineRule="auto"/>
        <w:ind w:firstLine="480"/>
        <w:jc w:val="center"/>
        <w:rPr>
          <w:rFonts w:ascii="仿宋_GB2312" w:hAnsi="仿宋_GB2312" w:eastAsia="仿宋_GB2312" w:cs="仿宋_GB2312"/>
          <w:color w:val="000000"/>
          <w:sz w:val="24"/>
          <w:highlight w:val="none"/>
        </w:rPr>
      </w:pPr>
      <w:r>
        <w:rPr>
          <w:rFonts w:ascii="仿宋_GB2312" w:hAnsi="仿宋_GB2312" w:eastAsia="仿宋_GB2312" w:cs="仿宋_GB2312"/>
          <w:color w:val="000000"/>
          <w:sz w:val="24"/>
          <w:highlight w:val="none"/>
        </w:rPr>
        <w:t>签约时间：______年____月____日</w:t>
      </w:r>
    </w:p>
    <w:p w14:paraId="3867DC61">
      <w:pPr>
        <w:pStyle w:val="2"/>
        <w:rPr>
          <w:rFonts w:ascii="仿宋_GB2312" w:hAnsi="仿宋_GB2312" w:eastAsia="仿宋_GB2312" w:cs="仿宋_GB2312"/>
          <w:color w:val="000000"/>
          <w:sz w:val="24"/>
          <w:highlight w:val="none"/>
        </w:rPr>
      </w:pPr>
    </w:p>
    <w:p w14:paraId="4D8F19F8">
      <w:pPr>
        <w:pStyle w:val="2"/>
        <w:rPr>
          <w:rFonts w:ascii="仿宋_GB2312" w:hAnsi="仿宋_GB2312" w:eastAsia="仿宋_GB2312" w:cs="仿宋_GB2312"/>
          <w:color w:val="000000"/>
          <w:sz w:val="24"/>
          <w:highlight w:val="none"/>
        </w:rPr>
      </w:pPr>
    </w:p>
    <w:p w14:paraId="383F5CF0">
      <w:pPr>
        <w:pStyle w:val="2"/>
        <w:rPr>
          <w:rFonts w:ascii="仿宋_GB2312" w:hAnsi="仿宋_GB2312" w:eastAsia="仿宋_GB2312" w:cs="仿宋_GB2312"/>
          <w:color w:val="000000"/>
          <w:sz w:val="24"/>
          <w:highlight w:val="none"/>
        </w:rPr>
      </w:pPr>
    </w:p>
    <w:p w14:paraId="337EF39C">
      <w:pPr>
        <w:pStyle w:val="2"/>
        <w:rPr>
          <w:rFonts w:ascii="仿宋_GB2312" w:hAnsi="仿宋_GB2312" w:eastAsia="仿宋_GB2312" w:cs="仿宋_GB2312"/>
          <w:color w:val="000000"/>
          <w:sz w:val="24"/>
          <w:highlight w:val="none"/>
        </w:rPr>
      </w:pPr>
    </w:p>
    <w:p w14:paraId="125722B1">
      <w:pPr>
        <w:pStyle w:val="2"/>
        <w:rPr>
          <w:rFonts w:ascii="仿宋_GB2312" w:hAnsi="仿宋_GB2312" w:eastAsia="仿宋_GB2312" w:cs="仿宋_GB2312"/>
          <w:color w:val="000000"/>
          <w:sz w:val="24"/>
          <w:highlight w:val="none"/>
        </w:rPr>
      </w:pPr>
    </w:p>
    <w:p w14:paraId="48ECC77B">
      <w:pPr>
        <w:pStyle w:val="2"/>
        <w:rPr>
          <w:rFonts w:ascii="仿宋_GB2312" w:hAnsi="仿宋_GB2312" w:eastAsia="仿宋_GB2312" w:cs="仿宋_GB2312"/>
          <w:color w:val="000000"/>
          <w:sz w:val="24"/>
          <w:highlight w:val="none"/>
        </w:rPr>
      </w:pPr>
    </w:p>
    <w:p w14:paraId="51F0231B">
      <w:pPr>
        <w:pStyle w:val="2"/>
        <w:rPr>
          <w:rFonts w:ascii="仿宋_GB2312" w:hAnsi="仿宋_GB2312" w:eastAsia="仿宋_GB2312" w:cs="仿宋_GB2312"/>
          <w:color w:val="000000"/>
          <w:sz w:val="24"/>
          <w:highlight w:val="none"/>
        </w:rPr>
      </w:pPr>
    </w:p>
    <w:p w14:paraId="76BB15E8">
      <w:pPr>
        <w:pStyle w:val="2"/>
        <w:rPr>
          <w:rFonts w:ascii="仿宋_GB2312" w:hAnsi="仿宋_GB2312" w:eastAsia="仿宋_GB2312" w:cs="仿宋_GB2312"/>
          <w:color w:val="000000"/>
          <w:sz w:val="24"/>
          <w:highlight w:val="none"/>
        </w:rPr>
      </w:pPr>
    </w:p>
    <w:p w14:paraId="36F439EB">
      <w:pPr>
        <w:pStyle w:val="2"/>
        <w:rPr>
          <w:rFonts w:ascii="仿宋_GB2312" w:hAnsi="仿宋_GB2312" w:eastAsia="仿宋_GB2312" w:cs="仿宋_GB2312"/>
          <w:color w:val="000000"/>
          <w:sz w:val="24"/>
          <w:highlight w:val="none"/>
        </w:rPr>
      </w:pPr>
    </w:p>
    <w:p w14:paraId="477122E5">
      <w:pPr>
        <w:pStyle w:val="2"/>
        <w:rPr>
          <w:rFonts w:ascii="仿宋_GB2312" w:hAnsi="仿宋_GB2312" w:eastAsia="仿宋_GB2312" w:cs="仿宋_GB2312"/>
          <w:color w:val="000000"/>
          <w:sz w:val="24"/>
          <w:highlight w:val="none"/>
        </w:rPr>
      </w:pPr>
    </w:p>
    <w:p w14:paraId="2D5FEE3D">
      <w:pPr>
        <w:pStyle w:val="2"/>
        <w:rPr>
          <w:rFonts w:ascii="仿宋_GB2312" w:hAnsi="仿宋_GB2312" w:eastAsia="仿宋_GB2312" w:cs="仿宋_GB2312"/>
          <w:color w:val="000000"/>
          <w:sz w:val="24"/>
          <w:highlight w:val="none"/>
        </w:rPr>
      </w:pPr>
    </w:p>
    <w:p w14:paraId="7D97143B">
      <w:pPr>
        <w:pStyle w:val="2"/>
        <w:rPr>
          <w:rFonts w:ascii="仿宋_GB2312" w:hAnsi="仿宋_GB2312" w:eastAsia="仿宋_GB2312" w:cs="仿宋_GB2312"/>
          <w:color w:val="000000"/>
          <w:sz w:val="24"/>
          <w:highlight w:val="none"/>
        </w:rPr>
      </w:pPr>
    </w:p>
    <w:p w14:paraId="01F41999">
      <w:pPr>
        <w:pStyle w:val="2"/>
        <w:rPr>
          <w:rFonts w:ascii="仿宋_GB2312" w:hAnsi="仿宋_GB2312" w:eastAsia="仿宋_GB2312" w:cs="仿宋_GB2312"/>
          <w:color w:val="000000"/>
          <w:sz w:val="24"/>
          <w:highlight w:val="none"/>
        </w:rPr>
      </w:pPr>
    </w:p>
    <w:p w14:paraId="5DDD2417">
      <w:pPr>
        <w:pStyle w:val="2"/>
        <w:rPr>
          <w:rFonts w:ascii="仿宋_GB2312" w:hAnsi="仿宋_GB2312" w:eastAsia="仿宋_GB2312" w:cs="仿宋_GB2312"/>
          <w:color w:val="000000"/>
          <w:sz w:val="24"/>
          <w:highlight w:val="none"/>
        </w:rPr>
      </w:pPr>
    </w:p>
    <w:p w14:paraId="7E736B33">
      <w:pPr>
        <w:pStyle w:val="2"/>
        <w:rPr>
          <w:rFonts w:ascii="仿宋_GB2312" w:hAnsi="仿宋_GB2312" w:eastAsia="仿宋_GB2312" w:cs="仿宋_GB2312"/>
          <w:color w:val="000000"/>
          <w:sz w:val="24"/>
          <w:highlight w:val="none"/>
        </w:rPr>
      </w:pPr>
    </w:p>
    <w:p w14:paraId="044F0030">
      <w:pPr>
        <w:pStyle w:val="2"/>
        <w:rPr>
          <w:rFonts w:ascii="仿宋_GB2312" w:hAnsi="仿宋_GB2312" w:eastAsia="仿宋_GB2312" w:cs="仿宋_GB2312"/>
          <w:color w:val="000000"/>
          <w:sz w:val="24"/>
          <w:highlight w:val="none"/>
        </w:rPr>
      </w:pPr>
    </w:p>
    <w:p w14:paraId="2FE727F8">
      <w:pPr>
        <w:pStyle w:val="2"/>
        <w:rPr>
          <w:rFonts w:ascii="仿宋_GB2312" w:hAnsi="仿宋_GB2312" w:eastAsia="仿宋_GB2312" w:cs="仿宋_GB2312"/>
          <w:color w:val="000000"/>
          <w:sz w:val="24"/>
          <w:highlight w:val="none"/>
        </w:rPr>
      </w:pPr>
    </w:p>
    <w:p w14:paraId="341270EB">
      <w:pPr>
        <w:pStyle w:val="2"/>
        <w:rPr>
          <w:rFonts w:ascii="仿宋_GB2312" w:hAnsi="仿宋_GB2312" w:eastAsia="仿宋_GB2312" w:cs="仿宋_GB2312"/>
          <w:color w:val="000000"/>
          <w:sz w:val="24"/>
          <w:highlight w:val="none"/>
        </w:rPr>
      </w:pPr>
    </w:p>
    <w:p w14:paraId="5E8B1198">
      <w:pPr>
        <w:pStyle w:val="2"/>
        <w:rPr>
          <w:rFonts w:ascii="仿宋_GB2312" w:hAnsi="仿宋_GB2312" w:eastAsia="仿宋_GB2312" w:cs="仿宋_GB2312"/>
          <w:color w:val="000000"/>
          <w:sz w:val="24"/>
          <w:highlight w:val="none"/>
        </w:rPr>
      </w:pPr>
    </w:p>
    <w:p w14:paraId="74891013">
      <w:pPr>
        <w:pStyle w:val="2"/>
        <w:rPr>
          <w:rFonts w:ascii="仿宋_GB2312" w:hAnsi="仿宋_GB2312" w:eastAsia="仿宋_GB2312" w:cs="仿宋_GB2312"/>
          <w:color w:val="000000"/>
          <w:sz w:val="24"/>
          <w:highlight w:val="none"/>
        </w:rPr>
      </w:pPr>
    </w:p>
    <w:p w14:paraId="2C3A324E">
      <w:pPr>
        <w:pStyle w:val="2"/>
        <w:rPr>
          <w:rFonts w:ascii="仿宋_GB2312" w:hAnsi="仿宋_GB2312" w:eastAsia="仿宋_GB2312" w:cs="仿宋_GB2312"/>
          <w:color w:val="000000"/>
          <w:sz w:val="24"/>
          <w:highlight w:val="none"/>
        </w:rPr>
      </w:pPr>
    </w:p>
    <w:p w14:paraId="681A4DE8">
      <w:pPr>
        <w:pStyle w:val="2"/>
        <w:rPr>
          <w:rFonts w:ascii="仿宋_GB2312" w:hAnsi="仿宋_GB2312" w:eastAsia="仿宋_GB2312" w:cs="仿宋_GB2312"/>
          <w:color w:val="000000"/>
          <w:sz w:val="24"/>
          <w:highlight w:val="none"/>
        </w:rPr>
      </w:pPr>
    </w:p>
    <w:p w14:paraId="67093EFF">
      <w:pPr>
        <w:pStyle w:val="2"/>
        <w:rPr>
          <w:rFonts w:ascii="仿宋_GB2312" w:hAnsi="仿宋_GB2312" w:eastAsia="仿宋_GB2312" w:cs="仿宋_GB2312"/>
          <w:color w:val="000000"/>
          <w:sz w:val="24"/>
          <w:highlight w:val="none"/>
        </w:rPr>
      </w:pPr>
    </w:p>
    <w:p w14:paraId="261FAE49">
      <w:pPr>
        <w:pStyle w:val="2"/>
        <w:rPr>
          <w:rFonts w:ascii="仿宋_GB2312" w:hAnsi="仿宋_GB2312" w:eastAsia="仿宋_GB2312" w:cs="仿宋_GB2312"/>
          <w:color w:val="000000"/>
          <w:sz w:val="24"/>
          <w:highlight w:val="none"/>
        </w:rPr>
      </w:pPr>
    </w:p>
    <w:p w14:paraId="1B00374A">
      <w:pPr>
        <w:pStyle w:val="2"/>
        <w:rPr>
          <w:rFonts w:ascii="仿宋_GB2312" w:hAnsi="仿宋_GB2312" w:eastAsia="仿宋_GB2312" w:cs="仿宋_GB2312"/>
          <w:color w:val="000000"/>
          <w:sz w:val="24"/>
          <w:highlight w:val="none"/>
        </w:rPr>
      </w:pPr>
    </w:p>
    <w:p w14:paraId="5E9AB892">
      <w:pPr>
        <w:pStyle w:val="2"/>
        <w:rPr>
          <w:rFonts w:ascii="仿宋_GB2312" w:hAnsi="仿宋_GB2312" w:eastAsia="仿宋_GB2312" w:cs="仿宋_GB2312"/>
          <w:color w:val="000000"/>
          <w:sz w:val="24"/>
          <w:highlight w:val="none"/>
        </w:rPr>
      </w:pPr>
    </w:p>
    <w:p w14:paraId="593E3AB6">
      <w:pPr>
        <w:pStyle w:val="2"/>
        <w:rPr>
          <w:rFonts w:ascii="仿宋_GB2312" w:hAnsi="仿宋_GB2312" w:eastAsia="仿宋_GB2312" w:cs="仿宋_GB2312"/>
          <w:color w:val="000000"/>
          <w:sz w:val="24"/>
          <w:highlight w:val="none"/>
        </w:rPr>
      </w:pPr>
    </w:p>
    <w:p w14:paraId="1FCCC33D">
      <w:pPr>
        <w:pStyle w:val="2"/>
        <w:spacing w:line="240" w:lineRule="auto"/>
        <w:ind w:left="480" w:leftChars="0" w:hanging="480" w:hangingChars="200"/>
        <w:jc w:val="left"/>
        <w:rPr>
          <w:rFonts w:hint="eastAsia" w:ascii="仿宋_GB2312" w:hAnsi="仿宋_GB2312" w:eastAsia="仿宋_GB2312" w:cs="仿宋_GB2312"/>
          <w:color w:val="000000"/>
          <w:sz w:val="24"/>
          <w:szCs w:val="22"/>
          <w:highlight w:val="none"/>
          <w:lang w:val="en-US" w:eastAsia="zh-CN" w:bidi="ar-SA"/>
        </w:rPr>
      </w:pPr>
      <w:r>
        <w:rPr>
          <w:rFonts w:hint="eastAsia" w:ascii="仿宋_GB2312" w:hAnsi="仿宋_GB2312" w:eastAsia="仿宋_GB2312" w:cs="仿宋_GB2312"/>
          <w:color w:val="000000"/>
          <w:sz w:val="24"/>
          <w:szCs w:val="22"/>
          <w:highlight w:val="none"/>
          <w:lang w:val="en-US" w:eastAsia="zh-CN" w:bidi="ar-SA"/>
        </w:rPr>
        <w:t>附件1 绿化养护路段及面积</w:t>
      </w:r>
    </w:p>
    <w:p w14:paraId="65ABB9A7">
      <w:pPr>
        <w:keepNext w:val="0"/>
        <w:keepLines w:val="0"/>
        <w:pageBreakBefore w:val="0"/>
        <w:widowControl w:val="0"/>
        <w:kinsoku/>
        <w:wordWrap/>
        <w:overflowPunct/>
        <w:topLinePunct w:val="0"/>
        <w:autoSpaceDE/>
        <w:autoSpaceDN/>
        <w:bidi w:val="0"/>
        <w:adjustRightInd/>
        <w:snapToGrid/>
        <w:spacing w:line="240" w:lineRule="auto"/>
        <w:ind w:left="480" w:leftChars="0" w:hanging="480" w:hangingChars="200"/>
        <w:jc w:val="left"/>
        <w:textAlignment w:val="auto"/>
        <w:rPr>
          <w:rFonts w:hint="eastAsia" w:ascii="仿宋_GB2312" w:hAnsi="仿宋_GB2312" w:eastAsia="仿宋_GB2312" w:cs="仿宋_GB2312"/>
          <w:color w:val="000000"/>
          <w:sz w:val="24"/>
          <w:szCs w:val="22"/>
          <w:highlight w:val="none"/>
          <w:lang w:val="en-US" w:eastAsia="zh-CN" w:bidi="ar-SA"/>
        </w:rPr>
      </w:pPr>
      <w:r>
        <w:rPr>
          <w:rFonts w:hint="eastAsia" w:ascii="仿宋_GB2312" w:hAnsi="仿宋_GB2312" w:eastAsia="仿宋_GB2312" w:cs="仿宋_GB2312"/>
          <w:color w:val="000000"/>
          <w:sz w:val="24"/>
          <w:szCs w:val="22"/>
          <w:highlight w:val="none"/>
          <w:lang w:val="en-US" w:eastAsia="zh-CN" w:bidi="ar-SA"/>
        </w:rPr>
        <w:t>附件2草堂街道环卫保洁工作外包项目服务质量工作考核办法</w:t>
      </w:r>
    </w:p>
    <w:p w14:paraId="272CA8FA">
      <w:pPr>
        <w:pStyle w:val="2"/>
        <w:spacing w:line="240" w:lineRule="auto"/>
        <w:ind w:left="480" w:leftChars="0" w:hanging="480" w:hangingChars="200"/>
        <w:jc w:val="left"/>
        <w:rPr>
          <w:rFonts w:hint="eastAsia" w:ascii="仿宋_GB2312" w:hAnsi="仿宋_GB2312" w:eastAsia="仿宋_GB2312" w:cs="仿宋_GB2312"/>
          <w:color w:val="000000"/>
          <w:sz w:val="24"/>
          <w:szCs w:val="22"/>
          <w:highlight w:val="none"/>
          <w:lang w:val="en-US" w:eastAsia="zh-CN" w:bidi="ar-SA"/>
        </w:rPr>
      </w:pPr>
      <w:r>
        <w:rPr>
          <w:rFonts w:hint="eastAsia" w:ascii="仿宋_GB2312" w:hAnsi="仿宋_GB2312" w:eastAsia="仿宋_GB2312" w:cs="仿宋_GB2312"/>
          <w:color w:val="000000"/>
          <w:sz w:val="24"/>
          <w:szCs w:val="22"/>
          <w:highlight w:val="none"/>
          <w:lang w:val="en-US" w:eastAsia="zh-CN" w:bidi="ar-SA"/>
        </w:rPr>
        <w:t>附件3草堂街道环卫保洁绿化养护公厕管理服务质量考核表</w:t>
      </w:r>
    </w:p>
    <w:p w14:paraId="6FBE8DEE">
      <w:pPr>
        <w:pStyle w:val="26"/>
        <w:spacing w:line="240" w:lineRule="auto"/>
        <w:ind w:left="480" w:leftChars="0" w:hanging="480" w:hangingChars="200"/>
        <w:jc w:val="left"/>
        <w:rPr>
          <w:rFonts w:hint="eastAsia" w:ascii="仿宋_GB2312" w:hAnsi="仿宋_GB2312" w:eastAsia="仿宋_GB2312" w:cs="仿宋_GB2312"/>
          <w:color w:val="000000"/>
          <w:sz w:val="24"/>
          <w:szCs w:val="22"/>
          <w:highlight w:val="none"/>
          <w:lang w:val="en-US" w:eastAsia="zh-CN" w:bidi="ar-SA"/>
        </w:rPr>
      </w:pPr>
      <w:r>
        <w:rPr>
          <w:rFonts w:hint="eastAsia" w:ascii="仿宋_GB2312" w:hAnsi="仿宋_GB2312" w:eastAsia="仿宋_GB2312" w:cs="仿宋_GB2312"/>
          <w:color w:val="000000"/>
          <w:sz w:val="24"/>
          <w:szCs w:val="22"/>
          <w:highlight w:val="none"/>
          <w:lang w:val="en-US" w:eastAsia="zh-CN" w:bidi="ar-SA"/>
        </w:rPr>
        <w:t>附件4草堂街道绿化养护考核办法</w:t>
      </w:r>
    </w:p>
    <w:p w14:paraId="1204C0C5">
      <w:pPr>
        <w:pStyle w:val="26"/>
        <w:spacing w:line="240" w:lineRule="auto"/>
        <w:ind w:left="480" w:leftChars="0" w:hanging="480" w:hangingChars="200"/>
        <w:jc w:val="left"/>
        <w:rPr>
          <w:rFonts w:hint="eastAsia" w:ascii="仿宋_GB2312" w:hAnsi="仿宋_GB2312" w:eastAsia="仿宋_GB2312" w:cs="仿宋_GB2312"/>
          <w:color w:val="000000"/>
          <w:sz w:val="24"/>
          <w:szCs w:val="22"/>
          <w:highlight w:val="none"/>
          <w:lang w:val="en-US" w:eastAsia="zh-CN" w:bidi="ar-SA"/>
        </w:rPr>
      </w:pPr>
      <w:r>
        <w:rPr>
          <w:rFonts w:hint="eastAsia" w:ascii="仿宋_GB2312" w:hAnsi="仿宋_GB2312" w:eastAsia="仿宋_GB2312" w:cs="仿宋_GB2312"/>
          <w:color w:val="000000"/>
          <w:sz w:val="24"/>
          <w:szCs w:val="22"/>
          <w:highlight w:val="none"/>
          <w:lang w:val="en-US" w:eastAsia="zh-CN" w:bidi="ar-SA"/>
        </w:rPr>
        <w:t>附件5西安高新区园林绿化养护服务管理工作年度任务清单</w:t>
      </w:r>
    </w:p>
    <w:p w14:paraId="386A0E3B">
      <w:pPr>
        <w:pStyle w:val="26"/>
        <w:keepNext w:val="0"/>
        <w:keepLines w:val="0"/>
        <w:pageBreakBefore w:val="0"/>
        <w:kinsoku/>
        <w:wordWrap/>
        <w:overflowPunct/>
        <w:topLinePunct w:val="0"/>
        <w:autoSpaceDE/>
        <w:autoSpaceDN/>
        <w:bidi w:val="0"/>
        <w:adjustRightInd/>
        <w:snapToGrid/>
        <w:spacing w:line="240" w:lineRule="auto"/>
        <w:ind w:left="480" w:leftChars="0" w:hanging="480" w:hangingChars="200"/>
        <w:jc w:val="left"/>
        <w:textAlignment w:val="auto"/>
        <w:rPr>
          <w:rFonts w:hint="eastAsia" w:ascii="仿宋_GB2312" w:hAnsi="仿宋_GB2312" w:eastAsia="仿宋_GB2312" w:cs="仿宋_GB2312"/>
          <w:color w:val="000000"/>
          <w:sz w:val="24"/>
          <w:szCs w:val="22"/>
          <w:highlight w:val="none"/>
          <w:lang w:val="en-US" w:eastAsia="zh-CN" w:bidi="ar-SA"/>
        </w:rPr>
      </w:pPr>
      <w:r>
        <w:rPr>
          <w:rFonts w:hint="eastAsia" w:ascii="仿宋_GB2312" w:hAnsi="仿宋_GB2312" w:eastAsia="仿宋_GB2312" w:cs="仿宋_GB2312"/>
          <w:color w:val="000000"/>
          <w:sz w:val="24"/>
          <w:szCs w:val="22"/>
          <w:highlight w:val="none"/>
          <w:lang w:val="en-US" w:eastAsia="zh-CN" w:bidi="ar-SA"/>
        </w:rPr>
        <w:t>附件5草堂街道绿化养护管理项目考评标准及得分统计表</w:t>
      </w:r>
    </w:p>
    <w:p w14:paraId="39E2423E">
      <w:pPr>
        <w:pStyle w:val="26"/>
        <w:spacing w:line="360" w:lineRule="auto"/>
        <w:jc w:val="center"/>
        <w:rPr>
          <w:rFonts w:hint="eastAsia" w:ascii="宋体" w:hAnsi="宋体" w:eastAsia="宋体" w:cs="宋体"/>
          <w:b/>
          <w:kern w:val="0"/>
          <w:sz w:val="24"/>
          <w:szCs w:val="24"/>
          <w:highlight w:val="none"/>
          <w:lang w:eastAsia="zh-CN"/>
        </w:rPr>
      </w:pPr>
    </w:p>
    <w:p w14:paraId="268FDF26">
      <w:pPr>
        <w:pStyle w:val="2"/>
        <w:rPr>
          <w:rFonts w:hint="eastAsia" w:ascii="宋体" w:hAnsi="宋体" w:eastAsia="宋体" w:cs="宋体"/>
          <w:b/>
          <w:bCs/>
          <w:i w:val="0"/>
          <w:iCs w:val="0"/>
          <w:color w:val="000000"/>
          <w:kern w:val="0"/>
          <w:sz w:val="24"/>
          <w:szCs w:val="24"/>
          <w:highlight w:val="none"/>
          <w:u w:val="none"/>
          <w:lang w:val="en-US" w:eastAsia="zh-CN" w:bidi="ar"/>
        </w:rPr>
      </w:pPr>
    </w:p>
    <w:p w14:paraId="75EC6B9F">
      <w:pPr>
        <w:pStyle w:val="2"/>
        <w:rPr>
          <w:rFonts w:hint="eastAsia" w:ascii="宋体" w:hAnsi="宋体" w:eastAsia="宋体" w:cs="宋体"/>
          <w:b/>
          <w:bCs/>
          <w:i w:val="0"/>
          <w:iCs w:val="0"/>
          <w:color w:val="000000"/>
          <w:kern w:val="0"/>
          <w:sz w:val="24"/>
          <w:szCs w:val="24"/>
          <w:highlight w:val="none"/>
          <w:u w:val="none"/>
          <w:lang w:val="en-US" w:eastAsia="zh-CN" w:bidi="ar"/>
        </w:rPr>
      </w:pPr>
    </w:p>
    <w:p w14:paraId="255B8658">
      <w:pPr>
        <w:pStyle w:val="2"/>
        <w:rPr>
          <w:rFonts w:hint="eastAsia" w:ascii="宋体" w:hAnsi="宋体" w:eastAsia="宋体" w:cs="宋体"/>
          <w:b/>
          <w:bCs/>
          <w:i w:val="0"/>
          <w:iCs w:val="0"/>
          <w:color w:val="000000"/>
          <w:kern w:val="0"/>
          <w:sz w:val="24"/>
          <w:szCs w:val="24"/>
          <w:highlight w:val="none"/>
          <w:u w:val="none"/>
          <w:lang w:val="en-US" w:eastAsia="zh-CN" w:bidi="ar"/>
        </w:rPr>
      </w:pPr>
    </w:p>
    <w:p w14:paraId="6251B76F">
      <w:pPr>
        <w:pStyle w:val="2"/>
        <w:rPr>
          <w:rFonts w:hint="eastAsia" w:ascii="宋体" w:hAnsi="宋体" w:eastAsia="宋体" w:cs="宋体"/>
          <w:b/>
          <w:bCs/>
          <w:i w:val="0"/>
          <w:iCs w:val="0"/>
          <w:color w:val="000000"/>
          <w:kern w:val="0"/>
          <w:sz w:val="24"/>
          <w:szCs w:val="24"/>
          <w:highlight w:val="none"/>
          <w:u w:val="none"/>
          <w:lang w:val="en-US" w:eastAsia="zh-CN" w:bidi="ar"/>
        </w:rPr>
      </w:pPr>
    </w:p>
    <w:p w14:paraId="6549D05C">
      <w:pPr>
        <w:pStyle w:val="2"/>
        <w:rPr>
          <w:rFonts w:hint="eastAsia" w:ascii="宋体" w:hAnsi="宋体" w:eastAsia="宋体" w:cs="宋体"/>
          <w:b/>
          <w:bCs/>
          <w:i w:val="0"/>
          <w:iCs w:val="0"/>
          <w:color w:val="000000"/>
          <w:kern w:val="0"/>
          <w:sz w:val="24"/>
          <w:szCs w:val="24"/>
          <w:highlight w:val="none"/>
          <w:u w:val="none"/>
          <w:lang w:val="en-US" w:eastAsia="zh-CN" w:bidi="ar"/>
        </w:rPr>
      </w:pPr>
    </w:p>
    <w:p w14:paraId="027A918C">
      <w:pPr>
        <w:pStyle w:val="2"/>
        <w:rPr>
          <w:rFonts w:hint="eastAsia" w:ascii="宋体" w:hAnsi="宋体" w:eastAsia="宋体" w:cs="宋体"/>
          <w:b/>
          <w:bCs/>
          <w:i w:val="0"/>
          <w:iCs w:val="0"/>
          <w:color w:val="000000"/>
          <w:kern w:val="0"/>
          <w:sz w:val="24"/>
          <w:szCs w:val="24"/>
          <w:highlight w:val="none"/>
          <w:u w:val="none"/>
          <w:lang w:val="en-US" w:eastAsia="zh-CN" w:bidi="ar"/>
        </w:rPr>
      </w:pPr>
    </w:p>
    <w:p w14:paraId="0F1EE7D2">
      <w:pPr>
        <w:pStyle w:val="2"/>
        <w:rPr>
          <w:rFonts w:hint="eastAsia" w:ascii="宋体" w:hAnsi="宋体" w:eastAsia="宋体" w:cs="宋体"/>
          <w:b/>
          <w:bCs/>
          <w:i w:val="0"/>
          <w:iCs w:val="0"/>
          <w:color w:val="000000"/>
          <w:kern w:val="0"/>
          <w:sz w:val="24"/>
          <w:szCs w:val="24"/>
          <w:highlight w:val="none"/>
          <w:u w:val="none"/>
          <w:lang w:val="en-US" w:eastAsia="zh-CN" w:bidi="ar"/>
        </w:rPr>
      </w:pPr>
    </w:p>
    <w:p w14:paraId="2BDBD491">
      <w:pPr>
        <w:pStyle w:val="2"/>
        <w:rPr>
          <w:rFonts w:hint="eastAsia" w:ascii="宋体" w:hAnsi="宋体" w:eastAsia="宋体" w:cs="宋体"/>
          <w:b/>
          <w:bCs/>
          <w:i w:val="0"/>
          <w:iCs w:val="0"/>
          <w:color w:val="000000"/>
          <w:kern w:val="0"/>
          <w:sz w:val="24"/>
          <w:szCs w:val="24"/>
          <w:highlight w:val="none"/>
          <w:u w:val="none"/>
          <w:lang w:val="en-US" w:eastAsia="zh-CN" w:bidi="ar"/>
        </w:rPr>
      </w:pPr>
    </w:p>
    <w:p w14:paraId="3B089F5C">
      <w:pPr>
        <w:pStyle w:val="2"/>
        <w:rPr>
          <w:rFonts w:hint="eastAsia" w:ascii="宋体" w:hAnsi="宋体" w:eastAsia="宋体" w:cs="宋体"/>
          <w:b/>
          <w:bCs/>
          <w:i w:val="0"/>
          <w:iCs w:val="0"/>
          <w:color w:val="000000"/>
          <w:kern w:val="0"/>
          <w:sz w:val="24"/>
          <w:szCs w:val="24"/>
          <w:highlight w:val="none"/>
          <w:u w:val="none"/>
          <w:lang w:val="en-US" w:eastAsia="zh-CN" w:bidi="ar"/>
        </w:rPr>
      </w:pPr>
    </w:p>
    <w:p w14:paraId="1070286E">
      <w:pPr>
        <w:pStyle w:val="2"/>
        <w:rPr>
          <w:rFonts w:hint="eastAsia" w:ascii="宋体" w:hAnsi="宋体" w:eastAsia="宋体" w:cs="宋体"/>
          <w:b/>
          <w:bCs/>
          <w:i w:val="0"/>
          <w:iCs w:val="0"/>
          <w:color w:val="000000"/>
          <w:kern w:val="0"/>
          <w:sz w:val="24"/>
          <w:szCs w:val="24"/>
          <w:highlight w:val="none"/>
          <w:u w:val="none"/>
          <w:lang w:val="en-US" w:eastAsia="zh-CN" w:bidi="ar"/>
        </w:rPr>
      </w:pPr>
    </w:p>
    <w:p w14:paraId="1F42E795">
      <w:pPr>
        <w:pStyle w:val="2"/>
        <w:rPr>
          <w:rFonts w:hint="eastAsia" w:ascii="宋体" w:hAnsi="宋体" w:eastAsia="宋体" w:cs="宋体"/>
          <w:b/>
          <w:bCs/>
          <w:i w:val="0"/>
          <w:iCs w:val="0"/>
          <w:color w:val="000000"/>
          <w:kern w:val="0"/>
          <w:sz w:val="24"/>
          <w:szCs w:val="24"/>
          <w:highlight w:val="none"/>
          <w:u w:val="none"/>
          <w:lang w:val="en-US" w:eastAsia="zh-CN" w:bidi="ar"/>
        </w:rPr>
      </w:pPr>
    </w:p>
    <w:p w14:paraId="5BF6963A">
      <w:pPr>
        <w:pStyle w:val="2"/>
        <w:rPr>
          <w:rFonts w:hint="eastAsia" w:ascii="宋体" w:hAnsi="宋体" w:eastAsia="宋体" w:cs="宋体"/>
          <w:b/>
          <w:bCs/>
          <w:i w:val="0"/>
          <w:iCs w:val="0"/>
          <w:color w:val="000000"/>
          <w:kern w:val="0"/>
          <w:sz w:val="24"/>
          <w:szCs w:val="24"/>
          <w:highlight w:val="none"/>
          <w:u w:val="none"/>
          <w:lang w:val="en-US" w:eastAsia="zh-CN" w:bidi="ar"/>
        </w:rPr>
      </w:pPr>
    </w:p>
    <w:p w14:paraId="5BDFD04E">
      <w:pPr>
        <w:pStyle w:val="2"/>
        <w:rPr>
          <w:rFonts w:hint="eastAsia" w:ascii="宋体" w:hAnsi="宋体" w:eastAsia="宋体" w:cs="宋体"/>
          <w:b/>
          <w:bCs/>
          <w:i w:val="0"/>
          <w:iCs w:val="0"/>
          <w:color w:val="000000"/>
          <w:kern w:val="0"/>
          <w:sz w:val="24"/>
          <w:szCs w:val="24"/>
          <w:highlight w:val="none"/>
          <w:u w:val="none"/>
          <w:lang w:val="en-US" w:eastAsia="zh-CN" w:bidi="ar"/>
        </w:rPr>
      </w:pPr>
    </w:p>
    <w:p w14:paraId="0E481ECB">
      <w:pPr>
        <w:pStyle w:val="2"/>
        <w:rPr>
          <w:rFonts w:hint="eastAsia" w:ascii="宋体" w:hAnsi="宋体" w:eastAsia="宋体" w:cs="宋体"/>
          <w:b/>
          <w:bCs/>
          <w:i w:val="0"/>
          <w:iCs w:val="0"/>
          <w:color w:val="000000"/>
          <w:kern w:val="0"/>
          <w:sz w:val="24"/>
          <w:szCs w:val="24"/>
          <w:highlight w:val="none"/>
          <w:u w:val="none"/>
          <w:lang w:val="en-US" w:eastAsia="zh-CN" w:bidi="ar"/>
        </w:rPr>
      </w:pPr>
    </w:p>
    <w:p w14:paraId="56837F4E">
      <w:pPr>
        <w:pStyle w:val="2"/>
        <w:rPr>
          <w:rFonts w:hint="eastAsia" w:ascii="宋体" w:hAnsi="宋体" w:eastAsia="宋体" w:cs="宋体"/>
          <w:b/>
          <w:bCs/>
          <w:i w:val="0"/>
          <w:iCs w:val="0"/>
          <w:color w:val="000000"/>
          <w:kern w:val="0"/>
          <w:sz w:val="24"/>
          <w:szCs w:val="24"/>
          <w:highlight w:val="none"/>
          <w:u w:val="none"/>
          <w:lang w:val="en-US" w:eastAsia="zh-CN" w:bidi="ar"/>
        </w:rPr>
      </w:pPr>
    </w:p>
    <w:p w14:paraId="09C93EDC">
      <w:pPr>
        <w:pStyle w:val="2"/>
        <w:rPr>
          <w:rFonts w:hint="eastAsia" w:ascii="宋体" w:hAnsi="宋体" w:eastAsia="宋体" w:cs="宋体"/>
          <w:b/>
          <w:bCs/>
          <w:i w:val="0"/>
          <w:iCs w:val="0"/>
          <w:color w:val="000000"/>
          <w:kern w:val="0"/>
          <w:sz w:val="24"/>
          <w:szCs w:val="24"/>
          <w:highlight w:val="none"/>
          <w:u w:val="none"/>
          <w:lang w:val="en-US" w:eastAsia="zh-CN" w:bidi="ar"/>
        </w:rPr>
      </w:pPr>
    </w:p>
    <w:p w14:paraId="45825D5C">
      <w:pPr>
        <w:pStyle w:val="2"/>
        <w:rPr>
          <w:rFonts w:hint="eastAsia" w:ascii="宋体" w:hAnsi="宋体" w:eastAsia="宋体" w:cs="宋体"/>
          <w:b/>
          <w:bCs/>
          <w:i w:val="0"/>
          <w:iCs w:val="0"/>
          <w:color w:val="000000"/>
          <w:kern w:val="0"/>
          <w:sz w:val="24"/>
          <w:szCs w:val="24"/>
          <w:highlight w:val="none"/>
          <w:u w:val="none"/>
          <w:lang w:val="en-US" w:eastAsia="zh-CN" w:bidi="ar"/>
        </w:rPr>
      </w:pPr>
    </w:p>
    <w:p w14:paraId="5FC6AC42">
      <w:pPr>
        <w:pStyle w:val="2"/>
        <w:rPr>
          <w:rFonts w:hint="eastAsia" w:ascii="宋体" w:hAnsi="宋体" w:eastAsia="宋体" w:cs="宋体"/>
          <w:b/>
          <w:bCs/>
          <w:i w:val="0"/>
          <w:iCs w:val="0"/>
          <w:color w:val="000000"/>
          <w:kern w:val="0"/>
          <w:sz w:val="24"/>
          <w:szCs w:val="24"/>
          <w:highlight w:val="none"/>
          <w:u w:val="none"/>
          <w:lang w:val="en-US" w:eastAsia="zh-CN" w:bidi="ar"/>
        </w:rPr>
      </w:pPr>
    </w:p>
    <w:p w14:paraId="3AE63652">
      <w:pPr>
        <w:pStyle w:val="2"/>
        <w:rPr>
          <w:rFonts w:hint="eastAsia" w:ascii="宋体" w:hAnsi="宋体" w:eastAsia="宋体" w:cs="宋体"/>
          <w:b/>
          <w:bCs/>
          <w:i w:val="0"/>
          <w:iCs w:val="0"/>
          <w:color w:val="000000"/>
          <w:kern w:val="0"/>
          <w:sz w:val="24"/>
          <w:szCs w:val="24"/>
          <w:highlight w:val="none"/>
          <w:u w:val="none"/>
          <w:lang w:val="en-US" w:eastAsia="zh-CN" w:bidi="ar"/>
        </w:rPr>
      </w:pPr>
    </w:p>
    <w:p w14:paraId="6DB59DD0">
      <w:pPr>
        <w:pStyle w:val="2"/>
        <w:rPr>
          <w:rFonts w:hint="eastAsia" w:ascii="宋体" w:hAnsi="宋体" w:eastAsia="宋体" w:cs="宋体"/>
          <w:b/>
          <w:bCs/>
          <w:i w:val="0"/>
          <w:iCs w:val="0"/>
          <w:color w:val="000000"/>
          <w:kern w:val="0"/>
          <w:sz w:val="24"/>
          <w:szCs w:val="24"/>
          <w:highlight w:val="none"/>
          <w:u w:val="none"/>
          <w:lang w:val="en-US" w:eastAsia="zh-CN" w:bidi="ar"/>
        </w:rPr>
      </w:pPr>
    </w:p>
    <w:p w14:paraId="38264463">
      <w:pPr>
        <w:pStyle w:val="2"/>
        <w:rPr>
          <w:rFonts w:hint="eastAsia" w:ascii="宋体" w:hAnsi="宋体" w:eastAsia="宋体" w:cs="宋体"/>
          <w:b/>
          <w:bCs/>
          <w:i w:val="0"/>
          <w:iCs w:val="0"/>
          <w:color w:val="000000"/>
          <w:kern w:val="0"/>
          <w:sz w:val="24"/>
          <w:szCs w:val="24"/>
          <w:highlight w:val="none"/>
          <w:u w:val="none"/>
          <w:lang w:val="en-US" w:eastAsia="zh-CN" w:bidi="ar"/>
        </w:rPr>
      </w:pPr>
    </w:p>
    <w:p w14:paraId="72F6AA9D">
      <w:pPr>
        <w:pStyle w:val="2"/>
        <w:rPr>
          <w:rFonts w:hint="eastAsia" w:ascii="宋体" w:hAnsi="宋体" w:eastAsia="宋体" w:cs="宋体"/>
          <w:b/>
          <w:bCs/>
          <w:i w:val="0"/>
          <w:iCs w:val="0"/>
          <w:color w:val="000000"/>
          <w:kern w:val="0"/>
          <w:sz w:val="24"/>
          <w:szCs w:val="24"/>
          <w:highlight w:val="none"/>
          <w:u w:val="none"/>
          <w:lang w:val="en-US" w:eastAsia="zh-CN" w:bidi="ar"/>
        </w:rPr>
      </w:pPr>
    </w:p>
    <w:p w14:paraId="56AD5D71">
      <w:pPr>
        <w:pStyle w:val="2"/>
        <w:rPr>
          <w:rFonts w:hint="eastAsia" w:ascii="宋体" w:hAnsi="宋体" w:eastAsia="宋体" w:cs="宋体"/>
          <w:b/>
          <w:bCs/>
          <w:i w:val="0"/>
          <w:iCs w:val="0"/>
          <w:color w:val="000000"/>
          <w:kern w:val="0"/>
          <w:sz w:val="24"/>
          <w:szCs w:val="24"/>
          <w:highlight w:val="none"/>
          <w:u w:val="none"/>
          <w:lang w:val="en-US" w:eastAsia="zh-CN" w:bidi="ar"/>
        </w:rPr>
      </w:pPr>
    </w:p>
    <w:p w14:paraId="018F822E">
      <w:pPr>
        <w:pStyle w:val="2"/>
        <w:rPr>
          <w:rFonts w:hint="eastAsia" w:ascii="宋体" w:hAnsi="宋体" w:eastAsia="宋体" w:cs="宋体"/>
          <w:b/>
          <w:bCs/>
          <w:i w:val="0"/>
          <w:iCs w:val="0"/>
          <w:color w:val="000000"/>
          <w:kern w:val="0"/>
          <w:sz w:val="24"/>
          <w:szCs w:val="24"/>
          <w:highlight w:val="none"/>
          <w:u w:val="none"/>
          <w:lang w:val="en-US" w:eastAsia="zh-CN" w:bidi="ar"/>
        </w:rPr>
      </w:pPr>
    </w:p>
    <w:p w14:paraId="7A898185">
      <w:pPr>
        <w:pStyle w:val="2"/>
        <w:rPr>
          <w:rFonts w:hint="eastAsia" w:ascii="宋体" w:hAnsi="宋体" w:eastAsia="宋体" w:cs="宋体"/>
          <w:b/>
          <w:bCs/>
          <w:i w:val="0"/>
          <w:iCs w:val="0"/>
          <w:color w:val="000000"/>
          <w:kern w:val="0"/>
          <w:sz w:val="24"/>
          <w:szCs w:val="24"/>
          <w:highlight w:val="none"/>
          <w:u w:val="none"/>
          <w:lang w:val="en-US" w:eastAsia="zh-CN" w:bidi="ar"/>
        </w:rPr>
      </w:pPr>
    </w:p>
    <w:p w14:paraId="0227D1EF">
      <w:pPr>
        <w:pStyle w:val="2"/>
        <w:rPr>
          <w:rFonts w:hint="eastAsia" w:ascii="宋体" w:hAnsi="宋体" w:eastAsia="宋体" w:cs="宋体"/>
          <w:b/>
          <w:bCs/>
          <w:i w:val="0"/>
          <w:iCs w:val="0"/>
          <w:color w:val="000000"/>
          <w:kern w:val="0"/>
          <w:sz w:val="24"/>
          <w:szCs w:val="24"/>
          <w:highlight w:val="none"/>
          <w:u w:val="none"/>
          <w:lang w:val="en-US" w:eastAsia="zh-CN" w:bidi="ar"/>
        </w:rPr>
      </w:pPr>
    </w:p>
    <w:p w14:paraId="7290BCC5">
      <w:pPr>
        <w:pStyle w:val="2"/>
        <w:rPr>
          <w:rFonts w:hint="eastAsia" w:ascii="宋体" w:hAnsi="宋体" w:eastAsia="宋体" w:cs="宋体"/>
          <w:b/>
          <w:bCs/>
          <w:i w:val="0"/>
          <w:iCs w:val="0"/>
          <w:color w:val="000000"/>
          <w:kern w:val="0"/>
          <w:sz w:val="24"/>
          <w:szCs w:val="24"/>
          <w:highlight w:val="none"/>
          <w:u w:val="none"/>
          <w:lang w:val="en-US" w:eastAsia="zh-CN" w:bidi="ar"/>
        </w:rPr>
      </w:pPr>
    </w:p>
    <w:p w14:paraId="2541FA0C">
      <w:pPr>
        <w:pStyle w:val="2"/>
        <w:rPr>
          <w:rFonts w:hint="eastAsia" w:ascii="宋体" w:hAnsi="宋体" w:eastAsia="宋体" w:cs="宋体"/>
          <w:b/>
          <w:bCs/>
          <w:i w:val="0"/>
          <w:iCs w:val="0"/>
          <w:color w:val="000000"/>
          <w:kern w:val="0"/>
          <w:sz w:val="24"/>
          <w:szCs w:val="24"/>
          <w:highlight w:val="none"/>
          <w:u w:val="none"/>
          <w:lang w:val="en-US" w:eastAsia="zh-CN" w:bidi="ar"/>
        </w:rPr>
      </w:pPr>
    </w:p>
    <w:p w14:paraId="09658333">
      <w:pPr>
        <w:pStyle w:val="2"/>
        <w:rPr>
          <w:rFonts w:hint="eastAsia" w:ascii="宋体" w:hAnsi="宋体" w:eastAsia="宋体" w:cs="宋体"/>
          <w:b/>
          <w:bCs/>
          <w:i w:val="0"/>
          <w:iCs w:val="0"/>
          <w:color w:val="000000"/>
          <w:kern w:val="0"/>
          <w:sz w:val="24"/>
          <w:szCs w:val="24"/>
          <w:highlight w:val="none"/>
          <w:u w:val="none"/>
          <w:lang w:val="en-US" w:eastAsia="zh-CN" w:bidi="ar"/>
        </w:rPr>
      </w:pPr>
    </w:p>
    <w:p w14:paraId="1A7B6008">
      <w:pPr>
        <w:pStyle w:val="2"/>
        <w:rPr>
          <w:rFonts w:hint="eastAsia" w:ascii="宋体" w:hAnsi="宋体" w:eastAsia="宋体" w:cs="宋体"/>
          <w:b/>
          <w:bCs/>
          <w:i w:val="0"/>
          <w:iCs w:val="0"/>
          <w:color w:val="000000"/>
          <w:kern w:val="0"/>
          <w:sz w:val="24"/>
          <w:szCs w:val="24"/>
          <w:highlight w:val="none"/>
          <w:u w:val="none"/>
          <w:lang w:val="en-US" w:eastAsia="zh-CN" w:bidi="ar"/>
        </w:rPr>
      </w:pPr>
    </w:p>
    <w:p w14:paraId="685CC9AF">
      <w:pPr>
        <w:pStyle w:val="2"/>
        <w:rPr>
          <w:rFonts w:hint="eastAsia" w:ascii="宋体" w:hAnsi="宋体" w:eastAsia="宋体" w:cs="宋体"/>
          <w:b/>
          <w:bCs/>
          <w:i w:val="0"/>
          <w:iCs w:val="0"/>
          <w:color w:val="000000"/>
          <w:kern w:val="0"/>
          <w:sz w:val="24"/>
          <w:szCs w:val="24"/>
          <w:highlight w:val="none"/>
          <w:u w:val="none"/>
          <w:lang w:val="en-US" w:eastAsia="zh-CN" w:bidi="ar"/>
        </w:rPr>
      </w:pPr>
    </w:p>
    <w:p w14:paraId="263515F4">
      <w:pPr>
        <w:pStyle w:val="168"/>
        <w:ind w:firstLine="0" w:firstLineChars="0"/>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bidi="ar-SA"/>
        </w:rPr>
        <w:t xml:space="preserve">附件1 </w:t>
      </w:r>
      <w:r>
        <w:rPr>
          <w:rFonts w:hint="eastAsia" w:ascii="宋体" w:hAnsi="宋体" w:eastAsia="宋体" w:cs="宋体"/>
          <w:sz w:val="24"/>
          <w:szCs w:val="24"/>
          <w:highlight w:val="none"/>
        </w:rPr>
        <w:t>绿化养护</w:t>
      </w:r>
      <w:r>
        <w:rPr>
          <w:rFonts w:hint="eastAsia" w:ascii="宋体" w:hAnsi="宋体" w:eastAsia="宋体" w:cs="宋体"/>
          <w:sz w:val="24"/>
          <w:szCs w:val="24"/>
          <w:highlight w:val="none"/>
          <w:lang w:val="en-US" w:eastAsia="zh-CN"/>
        </w:rPr>
        <w:t>路段及面积</w:t>
      </w:r>
    </w:p>
    <w:tbl>
      <w:tblPr>
        <w:tblStyle w:val="36"/>
        <w:tblW w:w="779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46"/>
        <w:gridCol w:w="1395"/>
        <w:gridCol w:w="2890"/>
        <w:gridCol w:w="1296"/>
        <w:gridCol w:w="1471"/>
      </w:tblGrid>
      <w:tr w14:paraId="023D92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065C0">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序号</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FBD6F">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道路名称</w:t>
            </w:r>
          </w:p>
        </w:tc>
        <w:tc>
          <w:tcPr>
            <w:tcW w:w="2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CFB51">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道路起止点</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E1B1D">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面积</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2A6B2">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养护等级</w:t>
            </w:r>
          </w:p>
        </w:tc>
      </w:tr>
      <w:tr w14:paraId="32C61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4A32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FBE7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幸福南路</w:t>
            </w:r>
          </w:p>
        </w:tc>
        <w:tc>
          <w:tcPr>
            <w:tcW w:w="2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0E2D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西太路-纬九路</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F732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1600</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4655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二级</w:t>
            </w:r>
          </w:p>
        </w:tc>
      </w:tr>
      <w:tr w14:paraId="22863C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8" w:hRule="atLeast"/>
          <w:jc w:val="center"/>
        </w:trPr>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452D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67DA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正太路</w:t>
            </w:r>
          </w:p>
        </w:tc>
        <w:tc>
          <w:tcPr>
            <w:tcW w:w="2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FDEB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南转盘-秦镇交界 （父慈村——太平口）</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19C4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34500</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50C8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二级</w:t>
            </w:r>
          </w:p>
        </w:tc>
      </w:tr>
      <w:tr w14:paraId="27E5CF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8" w:hRule="atLeast"/>
          <w:jc w:val="center"/>
        </w:trPr>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6EBB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25DB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滦白路</w:t>
            </w:r>
          </w:p>
        </w:tc>
        <w:tc>
          <w:tcPr>
            <w:tcW w:w="2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BAFD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黄堆村西-西太路（孙姑村东——长户界）</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DCEE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23460</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4566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二级</w:t>
            </w:r>
          </w:p>
        </w:tc>
      </w:tr>
      <w:tr w14:paraId="1130D3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8" w:hRule="atLeast"/>
          <w:jc w:val="center"/>
        </w:trPr>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E92C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888B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新区广场 （广场）</w:t>
            </w:r>
          </w:p>
        </w:tc>
        <w:tc>
          <w:tcPr>
            <w:tcW w:w="2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7670A">
            <w:pPr>
              <w:jc w:val="center"/>
              <w:rPr>
                <w:rFonts w:hint="eastAsia" w:ascii="宋体" w:hAnsi="宋体" w:eastAsia="宋体" w:cs="宋体"/>
                <w:i w:val="0"/>
                <w:iCs w:val="0"/>
                <w:color w:val="000000"/>
                <w:sz w:val="24"/>
                <w:szCs w:val="24"/>
                <w:highlight w:val="none"/>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7F35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2000</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4808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二级</w:t>
            </w:r>
          </w:p>
        </w:tc>
      </w:tr>
      <w:tr w14:paraId="3BEB0A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A35A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478E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西太路南辅道</w:t>
            </w:r>
          </w:p>
        </w:tc>
        <w:tc>
          <w:tcPr>
            <w:tcW w:w="2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D2DD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宋南水塔-欧洲城</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F433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8000</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0B6B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三级</w:t>
            </w:r>
          </w:p>
        </w:tc>
      </w:tr>
      <w:tr w14:paraId="29713C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3B43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68B6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经一路</w:t>
            </w:r>
          </w:p>
        </w:tc>
        <w:tc>
          <w:tcPr>
            <w:tcW w:w="2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B09A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辅道（东）路口-纬九路</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E824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2000</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3E9E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三级</w:t>
            </w:r>
          </w:p>
        </w:tc>
      </w:tr>
      <w:tr w14:paraId="67C57F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A54A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C403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经二路</w:t>
            </w:r>
          </w:p>
        </w:tc>
        <w:tc>
          <w:tcPr>
            <w:tcW w:w="2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3C6E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辅道（东）路口-污水处理厂南</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F657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1500</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BE15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三级</w:t>
            </w:r>
          </w:p>
        </w:tc>
      </w:tr>
      <w:tr w14:paraId="21835F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DE06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D298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团结路</w:t>
            </w:r>
          </w:p>
        </w:tc>
        <w:tc>
          <w:tcPr>
            <w:tcW w:w="2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FD3C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正太路-东大交界</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5092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13500</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589F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三级</w:t>
            </w:r>
          </w:p>
        </w:tc>
      </w:tr>
      <w:tr w14:paraId="64D89A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8" w:hRule="atLeast"/>
          <w:jc w:val="center"/>
        </w:trPr>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343C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4CF2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环山路示范段（S107）</w:t>
            </w:r>
          </w:p>
        </w:tc>
        <w:tc>
          <w:tcPr>
            <w:tcW w:w="2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D55B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东大界-草堂界</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4356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174000</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A6B7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二级</w:t>
            </w:r>
          </w:p>
        </w:tc>
      </w:tr>
      <w:tr w14:paraId="18B67E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AFDD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0156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草寺东路</w:t>
            </w:r>
          </w:p>
        </w:tc>
        <w:tc>
          <w:tcPr>
            <w:tcW w:w="2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6CAF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S107-建大北路</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8F0D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7400</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C2DB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三级</w:t>
            </w:r>
          </w:p>
        </w:tc>
      </w:tr>
      <w:tr w14:paraId="48286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E0E0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11</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8582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建大北路</w:t>
            </w:r>
          </w:p>
        </w:tc>
        <w:tc>
          <w:tcPr>
            <w:tcW w:w="2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8543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草寺东路口-东大交界</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B391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4500</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06F7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三级</w:t>
            </w:r>
          </w:p>
        </w:tc>
      </w:tr>
      <w:tr w14:paraId="2F0052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36" w:hRule="atLeast"/>
          <w:jc w:val="center"/>
        </w:trPr>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6591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4EB3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草寺路</w:t>
            </w:r>
          </w:p>
        </w:tc>
        <w:tc>
          <w:tcPr>
            <w:tcW w:w="2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D466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草寺东路-太平河东岸 （南环线--关中环线）</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81C7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15529.6</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CA9F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三级</w:t>
            </w:r>
          </w:p>
        </w:tc>
      </w:tr>
      <w:tr w14:paraId="6FA318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2908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34FE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草寺北路</w:t>
            </w:r>
          </w:p>
        </w:tc>
        <w:tc>
          <w:tcPr>
            <w:tcW w:w="2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8682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草寺东路-亚太路</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4D69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6350</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AA33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三级</w:t>
            </w:r>
          </w:p>
        </w:tc>
      </w:tr>
      <w:tr w14:paraId="67A79D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22D1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14</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0040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幸福北路</w:t>
            </w:r>
          </w:p>
        </w:tc>
        <w:tc>
          <w:tcPr>
            <w:tcW w:w="2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B33A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西太路-宋东办公室</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737C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1400</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460F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三级</w:t>
            </w:r>
          </w:p>
        </w:tc>
      </w:tr>
      <w:tr w14:paraId="422520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0A56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AC09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创业路</w:t>
            </w:r>
          </w:p>
        </w:tc>
        <w:tc>
          <w:tcPr>
            <w:tcW w:w="2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A2BB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西太路-宋中村</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1F59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600</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E7CB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三级</w:t>
            </w:r>
          </w:p>
        </w:tc>
      </w:tr>
      <w:tr w14:paraId="32757C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56" w:hRule="atLeast"/>
          <w:jc w:val="center"/>
        </w:trPr>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029E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5EEA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西安高新区道路街角景观绿化提升项目二标段</w:t>
            </w:r>
          </w:p>
        </w:tc>
        <w:tc>
          <w:tcPr>
            <w:tcW w:w="2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D082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草堂镇九旅十字</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DB3A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4716.85</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A89F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二级</w:t>
            </w:r>
          </w:p>
        </w:tc>
      </w:tr>
      <w:tr w14:paraId="44B4B8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7" w:hRule="atLeast"/>
          <w:jc w:val="center"/>
        </w:trPr>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1E1B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17</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B0AE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秦岭绿道太平峪段北侧景观工程</w:t>
            </w:r>
          </w:p>
        </w:tc>
        <w:tc>
          <w:tcPr>
            <w:tcW w:w="2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9A95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李家岩北与107国道丁字口以北户县交界</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76A2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30372</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93F7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二级</w:t>
            </w:r>
          </w:p>
        </w:tc>
      </w:tr>
      <w:tr w14:paraId="6B8E2C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EBA8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18</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891D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高冠路</w:t>
            </w:r>
          </w:p>
        </w:tc>
        <w:tc>
          <w:tcPr>
            <w:tcW w:w="29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8866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正太路-创业路</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E6F2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350</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0CB2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三级</w:t>
            </w:r>
          </w:p>
        </w:tc>
      </w:tr>
      <w:tr w14:paraId="295E6E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4" w:hRule="atLeast"/>
          <w:jc w:val="center"/>
        </w:trPr>
        <w:tc>
          <w:tcPr>
            <w:tcW w:w="50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51A4E4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合计</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75CC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331778.45</w:t>
            </w:r>
          </w:p>
        </w:tc>
        <w:tc>
          <w:tcPr>
            <w:tcW w:w="14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79441">
            <w:pPr>
              <w:jc w:val="center"/>
              <w:rPr>
                <w:rFonts w:hint="eastAsia" w:ascii="宋体" w:hAnsi="宋体" w:eastAsia="宋体" w:cs="宋体"/>
                <w:i w:val="0"/>
                <w:iCs w:val="0"/>
                <w:color w:val="000000"/>
                <w:kern w:val="0"/>
                <w:sz w:val="24"/>
                <w:szCs w:val="24"/>
                <w:highlight w:val="none"/>
                <w:u w:val="none"/>
                <w:lang w:val="en-US" w:eastAsia="zh-CN" w:bidi="ar"/>
              </w:rPr>
            </w:pPr>
          </w:p>
        </w:tc>
      </w:tr>
    </w:tbl>
    <w:p w14:paraId="78D30A93">
      <w:pPr>
        <w:pStyle w:val="168"/>
        <w:ind w:firstLine="0" w:firstLineChars="0"/>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道路清扫路段及面积</w:t>
      </w:r>
    </w:p>
    <w:tbl>
      <w:tblPr>
        <w:tblStyle w:val="36"/>
        <w:tblW w:w="823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37"/>
        <w:gridCol w:w="1496"/>
        <w:gridCol w:w="3053"/>
        <w:gridCol w:w="794"/>
        <w:gridCol w:w="667"/>
        <w:gridCol w:w="1589"/>
      </w:tblGrid>
      <w:tr w14:paraId="3FB2C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8" w:hRule="atLeast"/>
          <w:jc w:val="center"/>
        </w:trPr>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BCC1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序号 </w:t>
            </w:r>
          </w:p>
        </w:tc>
        <w:tc>
          <w:tcPr>
            <w:tcW w:w="14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9D35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道路名称 </w:t>
            </w:r>
          </w:p>
        </w:tc>
        <w:tc>
          <w:tcPr>
            <w:tcW w:w="30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D16A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道路起止点 </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11F9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长/m</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7172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宽/m</w:t>
            </w: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C823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养护面积/㎡ </w:t>
            </w:r>
          </w:p>
        </w:tc>
      </w:tr>
      <w:tr w14:paraId="07867D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8" w:hRule="atLeast"/>
          <w:jc w:val="center"/>
        </w:trPr>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C437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14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B979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西太路南辅道 </w:t>
            </w:r>
          </w:p>
        </w:tc>
        <w:tc>
          <w:tcPr>
            <w:tcW w:w="30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572C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宋南水塔-欧洲城 </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913D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1840</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3077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w:t>
            </w: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7298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36800</w:t>
            </w:r>
          </w:p>
        </w:tc>
      </w:tr>
      <w:tr w14:paraId="59426B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8" w:hRule="atLeast"/>
          <w:jc w:val="center"/>
        </w:trPr>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8CE1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14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3BC3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经一路 </w:t>
            </w:r>
          </w:p>
        </w:tc>
        <w:tc>
          <w:tcPr>
            <w:tcW w:w="30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CD47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辅道（东）路口-纬九路 </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11C2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1000</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BC25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w:t>
            </w: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1260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20000</w:t>
            </w:r>
          </w:p>
        </w:tc>
      </w:tr>
      <w:tr w14:paraId="3646E0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8" w:hRule="atLeast"/>
          <w:jc w:val="center"/>
        </w:trPr>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8341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14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CCA9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经二路 </w:t>
            </w:r>
          </w:p>
        </w:tc>
        <w:tc>
          <w:tcPr>
            <w:tcW w:w="30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AB23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辅道（东）路口-污水处理厂南 </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58AD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550</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6E8C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w:t>
            </w: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E69E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8250</w:t>
            </w:r>
          </w:p>
        </w:tc>
      </w:tr>
      <w:tr w14:paraId="73C095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8" w:hRule="atLeast"/>
          <w:jc w:val="center"/>
        </w:trPr>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DC69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14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852F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幸福南路 </w:t>
            </w:r>
          </w:p>
        </w:tc>
        <w:tc>
          <w:tcPr>
            <w:tcW w:w="30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6224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西太路-纬九路 </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878B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690</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EACB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30</w:t>
            </w: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0755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20700</w:t>
            </w:r>
          </w:p>
        </w:tc>
      </w:tr>
      <w:tr w14:paraId="0A18C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8" w:hRule="atLeast"/>
          <w:jc w:val="center"/>
        </w:trPr>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3F31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w:t>
            </w:r>
          </w:p>
        </w:tc>
        <w:tc>
          <w:tcPr>
            <w:tcW w:w="14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DB28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草寺东路 </w:t>
            </w:r>
          </w:p>
        </w:tc>
        <w:tc>
          <w:tcPr>
            <w:tcW w:w="30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9B6C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S107-建大北路 </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B683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1900</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8CE0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w:t>
            </w: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A524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28500</w:t>
            </w:r>
          </w:p>
        </w:tc>
      </w:tr>
      <w:tr w14:paraId="5E8ACB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8" w:hRule="atLeast"/>
          <w:jc w:val="center"/>
        </w:trPr>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0456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w:t>
            </w:r>
          </w:p>
        </w:tc>
        <w:tc>
          <w:tcPr>
            <w:tcW w:w="14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DF2F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草寺北路 </w:t>
            </w:r>
          </w:p>
        </w:tc>
        <w:tc>
          <w:tcPr>
            <w:tcW w:w="30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9A86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草寺东路-亚太路 </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2D94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1000</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B080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22</w:t>
            </w: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A8E7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22000</w:t>
            </w:r>
          </w:p>
        </w:tc>
      </w:tr>
      <w:tr w14:paraId="1F5D30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8" w:hRule="atLeast"/>
          <w:jc w:val="center"/>
        </w:trPr>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306D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w:t>
            </w:r>
          </w:p>
        </w:tc>
        <w:tc>
          <w:tcPr>
            <w:tcW w:w="14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EED1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亚太路 </w:t>
            </w:r>
          </w:p>
        </w:tc>
        <w:tc>
          <w:tcPr>
            <w:tcW w:w="30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F937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草寺路-团结路 </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B6A9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1000</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EB62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w:t>
            </w: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E139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10000</w:t>
            </w:r>
          </w:p>
        </w:tc>
      </w:tr>
      <w:tr w14:paraId="538EE8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8" w:hRule="atLeast"/>
          <w:jc w:val="center"/>
        </w:trPr>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7302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14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14C7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建大北路 </w:t>
            </w:r>
          </w:p>
        </w:tc>
        <w:tc>
          <w:tcPr>
            <w:tcW w:w="30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6962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草寺东路口-东大交界 </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A475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1000</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F9E8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w:t>
            </w: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BF96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12000</w:t>
            </w:r>
          </w:p>
        </w:tc>
      </w:tr>
      <w:tr w14:paraId="0BA2C9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7" w:hRule="atLeast"/>
          <w:jc w:val="center"/>
        </w:trPr>
        <w:tc>
          <w:tcPr>
            <w:tcW w:w="51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4ACCD7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合计 </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D2E32">
            <w:pPr>
              <w:jc w:val="center"/>
              <w:rPr>
                <w:rFonts w:hint="eastAsia" w:ascii="宋体" w:hAnsi="宋体" w:eastAsia="宋体" w:cs="宋体"/>
                <w:i w:val="0"/>
                <w:iCs w:val="0"/>
                <w:color w:val="000000"/>
                <w:sz w:val="24"/>
                <w:szCs w:val="24"/>
                <w:highlight w:val="none"/>
                <w:u w:val="none"/>
              </w:rPr>
            </w:pP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D79E4">
            <w:pPr>
              <w:jc w:val="center"/>
              <w:rPr>
                <w:rFonts w:hint="eastAsia" w:ascii="宋体" w:hAnsi="宋体" w:eastAsia="宋体" w:cs="宋体"/>
                <w:i w:val="0"/>
                <w:iCs w:val="0"/>
                <w:color w:val="000000"/>
                <w:sz w:val="24"/>
                <w:szCs w:val="24"/>
                <w:highlight w:val="none"/>
                <w:u w:val="none"/>
              </w:rPr>
            </w:pPr>
          </w:p>
        </w:tc>
        <w:tc>
          <w:tcPr>
            <w:tcW w:w="15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38BC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158250</w:t>
            </w:r>
          </w:p>
        </w:tc>
      </w:tr>
    </w:tbl>
    <w:p w14:paraId="57FA6BCA">
      <w:pPr>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p>
    <w:p w14:paraId="6AB8FF06">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公厕明细一览表</w:t>
      </w:r>
    </w:p>
    <w:tbl>
      <w:tblPr>
        <w:tblStyle w:val="36"/>
        <w:tblW w:w="4725" w:type="pct"/>
        <w:jc w:val="center"/>
        <w:tblLayout w:type="autofit"/>
        <w:tblCellMar>
          <w:top w:w="0" w:type="dxa"/>
          <w:left w:w="0" w:type="dxa"/>
          <w:bottom w:w="0" w:type="dxa"/>
          <w:right w:w="0" w:type="dxa"/>
        </w:tblCellMar>
      </w:tblPr>
      <w:tblGrid>
        <w:gridCol w:w="710"/>
        <w:gridCol w:w="2618"/>
        <w:gridCol w:w="1748"/>
        <w:gridCol w:w="1420"/>
        <w:gridCol w:w="1461"/>
      </w:tblGrid>
      <w:tr w14:paraId="40AC6EEB">
        <w:tblPrEx>
          <w:tblCellMar>
            <w:top w:w="0" w:type="dxa"/>
            <w:left w:w="0" w:type="dxa"/>
            <w:bottom w:w="0" w:type="dxa"/>
            <w:right w:w="0" w:type="dxa"/>
          </w:tblCellMar>
        </w:tblPrEx>
        <w:trPr>
          <w:trHeight w:val="1428" w:hRule="atLeast"/>
          <w:jc w:val="center"/>
        </w:trPr>
        <w:tc>
          <w:tcPr>
            <w:tcW w:w="446" w:type="pct"/>
            <w:tcBorders>
              <w:top w:val="single" w:color="000000" w:sz="8" w:space="0"/>
              <w:left w:val="single" w:color="000000" w:sz="8" w:space="0"/>
              <w:bottom w:val="single" w:color="000000" w:sz="8" w:space="0"/>
              <w:right w:val="single" w:color="000000" w:sz="8" w:space="0"/>
            </w:tcBorders>
            <w:shd w:val="clear" w:color="auto" w:fill="auto"/>
            <w:tcMar>
              <w:top w:w="15" w:type="dxa"/>
              <w:left w:w="57" w:type="dxa"/>
              <w:bottom w:w="0" w:type="dxa"/>
              <w:right w:w="57" w:type="dxa"/>
            </w:tcMar>
            <w:vAlign w:val="center"/>
          </w:tcPr>
          <w:p w14:paraId="5AEE6BC5">
            <w:pPr>
              <w:pStyle w:val="3"/>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序号 </w:t>
            </w:r>
          </w:p>
        </w:tc>
        <w:tc>
          <w:tcPr>
            <w:tcW w:w="1644" w:type="pct"/>
            <w:tcBorders>
              <w:top w:val="single" w:color="000000" w:sz="8" w:space="0"/>
              <w:left w:val="single" w:color="000000" w:sz="8" w:space="0"/>
              <w:bottom w:val="single" w:color="000000" w:sz="8" w:space="0"/>
              <w:right w:val="single" w:color="000000" w:sz="8" w:space="0"/>
            </w:tcBorders>
            <w:shd w:val="clear" w:color="auto" w:fill="auto"/>
            <w:tcMar>
              <w:top w:w="15" w:type="dxa"/>
              <w:left w:w="57" w:type="dxa"/>
              <w:bottom w:w="0" w:type="dxa"/>
              <w:right w:w="57" w:type="dxa"/>
            </w:tcMar>
            <w:vAlign w:val="center"/>
          </w:tcPr>
          <w:p w14:paraId="0B3A5E38">
            <w:pPr>
              <w:pStyle w:val="3"/>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公厕名称 </w:t>
            </w:r>
          </w:p>
        </w:tc>
        <w:tc>
          <w:tcPr>
            <w:tcW w:w="1098" w:type="pct"/>
            <w:tcBorders>
              <w:top w:val="single" w:color="000000" w:sz="8" w:space="0"/>
              <w:left w:val="single" w:color="000000" w:sz="8" w:space="0"/>
              <w:bottom w:val="single" w:color="000000" w:sz="8" w:space="0"/>
              <w:right w:val="single" w:color="000000" w:sz="8" w:space="0"/>
            </w:tcBorders>
            <w:shd w:val="clear" w:color="auto" w:fill="auto"/>
            <w:tcMar>
              <w:top w:w="15" w:type="dxa"/>
              <w:left w:w="57" w:type="dxa"/>
              <w:bottom w:w="0" w:type="dxa"/>
              <w:right w:w="57" w:type="dxa"/>
            </w:tcMar>
            <w:vAlign w:val="center"/>
          </w:tcPr>
          <w:p w14:paraId="36F27A45">
            <w:pPr>
              <w:pStyle w:val="3"/>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公厕位置 </w:t>
            </w:r>
          </w:p>
        </w:tc>
        <w:tc>
          <w:tcPr>
            <w:tcW w:w="892" w:type="pct"/>
            <w:tcBorders>
              <w:top w:val="single" w:color="000000" w:sz="8" w:space="0"/>
              <w:left w:val="single" w:color="000000" w:sz="8" w:space="0"/>
              <w:bottom w:val="single" w:color="000000" w:sz="8" w:space="0"/>
              <w:right w:val="single" w:color="000000" w:sz="8" w:space="0"/>
            </w:tcBorders>
            <w:shd w:val="clear" w:color="auto" w:fill="auto"/>
            <w:tcMar>
              <w:top w:w="15" w:type="dxa"/>
              <w:left w:w="57" w:type="dxa"/>
              <w:bottom w:w="0" w:type="dxa"/>
              <w:right w:w="57" w:type="dxa"/>
            </w:tcMar>
            <w:vAlign w:val="center"/>
          </w:tcPr>
          <w:p w14:paraId="3201FCDD">
            <w:pPr>
              <w:pStyle w:val="3"/>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公厕性质（城镇/农村） </w:t>
            </w:r>
          </w:p>
        </w:tc>
        <w:tc>
          <w:tcPr>
            <w:tcW w:w="917" w:type="pct"/>
            <w:tcBorders>
              <w:top w:val="single" w:color="000000" w:sz="8" w:space="0"/>
              <w:left w:val="single" w:color="000000" w:sz="8" w:space="0"/>
              <w:bottom w:val="single" w:color="000000" w:sz="8" w:space="0"/>
              <w:right w:val="single" w:color="000000" w:sz="8" w:space="0"/>
            </w:tcBorders>
            <w:shd w:val="clear" w:color="auto" w:fill="auto"/>
            <w:tcMar>
              <w:top w:w="15" w:type="dxa"/>
              <w:left w:w="57" w:type="dxa"/>
              <w:bottom w:w="0" w:type="dxa"/>
              <w:right w:w="57" w:type="dxa"/>
            </w:tcMar>
            <w:vAlign w:val="center"/>
          </w:tcPr>
          <w:p w14:paraId="11EDE5DB">
            <w:pPr>
              <w:pStyle w:val="3"/>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备注（开放时间） </w:t>
            </w:r>
          </w:p>
        </w:tc>
      </w:tr>
      <w:tr w14:paraId="7B737162">
        <w:tblPrEx>
          <w:tblCellMar>
            <w:top w:w="0" w:type="dxa"/>
            <w:left w:w="0" w:type="dxa"/>
            <w:bottom w:w="0" w:type="dxa"/>
            <w:right w:w="0" w:type="dxa"/>
          </w:tblCellMar>
        </w:tblPrEx>
        <w:trPr>
          <w:trHeight w:val="876" w:hRule="atLeast"/>
          <w:jc w:val="center"/>
        </w:trPr>
        <w:tc>
          <w:tcPr>
            <w:tcW w:w="446" w:type="pct"/>
            <w:tcBorders>
              <w:top w:val="single" w:color="000000" w:sz="8" w:space="0"/>
              <w:left w:val="single" w:color="000000" w:sz="8" w:space="0"/>
              <w:bottom w:val="single" w:color="000000" w:sz="8" w:space="0"/>
              <w:right w:val="single" w:color="000000" w:sz="8" w:space="0"/>
            </w:tcBorders>
            <w:shd w:val="clear" w:color="auto" w:fill="auto"/>
            <w:tcMar>
              <w:top w:w="15" w:type="dxa"/>
              <w:left w:w="57" w:type="dxa"/>
              <w:bottom w:w="0" w:type="dxa"/>
              <w:right w:w="57" w:type="dxa"/>
            </w:tcMar>
            <w:vAlign w:val="center"/>
          </w:tcPr>
          <w:p w14:paraId="62DAFCE5">
            <w:pPr>
              <w:pStyle w:val="3"/>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 </w:t>
            </w:r>
          </w:p>
        </w:tc>
        <w:tc>
          <w:tcPr>
            <w:tcW w:w="1644" w:type="pct"/>
            <w:tcBorders>
              <w:top w:val="single" w:color="000000" w:sz="8" w:space="0"/>
              <w:left w:val="single" w:color="000000" w:sz="8" w:space="0"/>
              <w:bottom w:val="single" w:color="000000" w:sz="8" w:space="0"/>
              <w:right w:val="single" w:color="000000" w:sz="8" w:space="0"/>
            </w:tcBorders>
            <w:shd w:val="clear" w:color="auto" w:fill="auto"/>
            <w:tcMar>
              <w:top w:w="15" w:type="dxa"/>
              <w:left w:w="57" w:type="dxa"/>
              <w:bottom w:w="0" w:type="dxa"/>
              <w:right w:w="57" w:type="dxa"/>
            </w:tcMar>
            <w:vAlign w:val="center"/>
          </w:tcPr>
          <w:p w14:paraId="42382FCA">
            <w:pPr>
              <w:pStyle w:val="3"/>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宋南公厕 </w:t>
            </w:r>
          </w:p>
        </w:tc>
        <w:tc>
          <w:tcPr>
            <w:tcW w:w="1098" w:type="pct"/>
            <w:tcBorders>
              <w:top w:val="single" w:color="000000" w:sz="8" w:space="0"/>
              <w:left w:val="single" w:color="000000" w:sz="8" w:space="0"/>
              <w:bottom w:val="single" w:color="000000" w:sz="8" w:space="0"/>
              <w:right w:val="single" w:color="000000" w:sz="8" w:space="0"/>
            </w:tcBorders>
            <w:shd w:val="clear" w:color="auto" w:fill="auto"/>
            <w:tcMar>
              <w:top w:w="15" w:type="dxa"/>
              <w:left w:w="57" w:type="dxa"/>
              <w:bottom w:w="0" w:type="dxa"/>
              <w:right w:w="57" w:type="dxa"/>
            </w:tcMar>
            <w:vAlign w:val="center"/>
          </w:tcPr>
          <w:p w14:paraId="23ACD817">
            <w:pPr>
              <w:pStyle w:val="3"/>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宋南广场对面 </w:t>
            </w:r>
          </w:p>
        </w:tc>
        <w:tc>
          <w:tcPr>
            <w:tcW w:w="892" w:type="pct"/>
            <w:tcBorders>
              <w:top w:val="single" w:color="000000" w:sz="8" w:space="0"/>
              <w:left w:val="single" w:color="000000" w:sz="8" w:space="0"/>
              <w:bottom w:val="single" w:color="000000" w:sz="8" w:space="0"/>
              <w:right w:val="single" w:color="000000" w:sz="8" w:space="0"/>
            </w:tcBorders>
            <w:shd w:val="clear" w:color="auto" w:fill="auto"/>
            <w:tcMar>
              <w:top w:w="15" w:type="dxa"/>
              <w:left w:w="57" w:type="dxa"/>
              <w:bottom w:w="0" w:type="dxa"/>
              <w:right w:w="57" w:type="dxa"/>
            </w:tcMar>
            <w:vAlign w:val="center"/>
          </w:tcPr>
          <w:p w14:paraId="3913DB4D">
            <w:pPr>
              <w:pStyle w:val="3"/>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城镇</w:t>
            </w:r>
          </w:p>
        </w:tc>
        <w:tc>
          <w:tcPr>
            <w:tcW w:w="917" w:type="pct"/>
            <w:tcBorders>
              <w:top w:val="single" w:color="000000" w:sz="8" w:space="0"/>
              <w:left w:val="single" w:color="000000" w:sz="8" w:space="0"/>
              <w:bottom w:val="single" w:color="000000" w:sz="8" w:space="0"/>
              <w:right w:val="single" w:color="000000" w:sz="8" w:space="0"/>
            </w:tcBorders>
            <w:shd w:val="clear" w:color="auto" w:fill="auto"/>
            <w:tcMar>
              <w:top w:w="15" w:type="dxa"/>
              <w:left w:w="57" w:type="dxa"/>
              <w:bottom w:w="0" w:type="dxa"/>
              <w:right w:w="57" w:type="dxa"/>
            </w:tcMar>
            <w:vAlign w:val="center"/>
          </w:tcPr>
          <w:p w14:paraId="28CD5FBD">
            <w:pPr>
              <w:pStyle w:val="3"/>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6:30-23:00 </w:t>
            </w:r>
          </w:p>
        </w:tc>
      </w:tr>
      <w:tr w14:paraId="3C2787CE">
        <w:tblPrEx>
          <w:tblCellMar>
            <w:top w:w="0" w:type="dxa"/>
            <w:left w:w="0" w:type="dxa"/>
            <w:bottom w:w="0" w:type="dxa"/>
            <w:right w:w="0" w:type="dxa"/>
          </w:tblCellMar>
        </w:tblPrEx>
        <w:trPr>
          <w:trHeight w:val="876" w:hRule="atLeast"/>
          <w:jc w:val="center"/>
        </w:trPr>
        <w:tc>
          <w:tcPr>
            <w:tcW w:w="446" w:type="pct"/>
            <w:tcBorders>
              <w:top w:val="single" w:color="000000" w:sz="8" w:space="0"/>
              <w:left w:val="single" w:color="000000" w:sz="8" w:space="0"/>
              <w:bottom w:val="single" w:color="000000" w:sz="8" w:space="0"/>
              <w:right w:val="single" w:color="000000" w:sz="8" w:space="0"/>
            </w:tcBorders>
            <w:shd w:val="clear" w:color="auto" w:fill="auto"/>
            <w:tcMar>
              <w:top w:w="15" w:type="dxa"/>
              <w:left w:w="57" w:type="dxa"/>
              <w:bottom w:w="0" w:type="dxa"/>
              <w:right w:w="57" w:type="dxa"/>
            </w:tcMar>
            <w:vAlign w:val="center"/>
          </w:tcPr>
          <w:p w14:paraId="3E709A42">
            <w:pPr>
              <w:pStyle w:val="3"/>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 </w:t>
            </w:r>
          </w:p>
        </w:tc>
        <w:tc>
          <w:tcPr>
            <w:tcW w:w="1644" w:type="pct"/>
            <w:tcBorders>
              <w:top w:val="single" w:color="000000" w:sz="8" w:space="0"/>
              <w:left w:val="single" w:color="000000" w:sz="8" w:space="0"/>
              <w:bottom w:val="single" w:color="000000" w:sz="8" w:space="0"/>
              <w:right w:val="single" w:color="000000" w:sz="8" w:space="0"/>
            </w:tcBorders>
            <w:shd w:val="clear" w:color="auto" w:fill="auto"/>
            <w:tcMar>
              <w:top w:w="15" w:type="dxa"/>
              <w:left w:w="57" w:type="dxa"/>
              <w:bottom w:w="0" w:type="dxa"/>
              <w:right w:w="57" w:type="dxa"/>
            </w:tcMar>
            <w:vAlign w:val="center"/>
          </w:tcPr>
          <w:p w14:paraId="74C7C39F">
            <w:pPr>
              <w:pStyle w:val="3"/>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新区广场公厕（东） </w:t>
            </w:r>
          </w:p>
        </w:tc>
        <w:tc>
          <w:tcPr>
            <w:tcW w:w="1098" w:type="pct"/>
            <w:tcBorders>
              <w:top w:val="single" w:color="000000" w:sz="8" w:space="0"/>
              <w:left w:val="single" w:color="000000" w:sz="8" w:space="0"/>
              <w:bottom w:val="single" w:color="000000" w:sz="8" w:space="0"/>
              <w:right w:val="single" w:color="000000" w:sz="8" w:space="0"/>
            </w:tcBorders>
            <w:shd w:val="clear" w:color="auto" w:fill="auto"/>
            <w:tcMar>
              <w:top w:w="15" w:type="dxa"/>
              <w:left w:w="57" w:type="dxa"/>
              <w:bottom w:w="0" w:type="dxa"/>
              <w:right w:w="57" w:type="dxa"/>
            </w:tcMar>
            <w:vAlign w:val="center"/>
          </w:tcPr>
          <w:p w14:paraId="0AE1A197">
            <w:pPr>
              <w:pStyle w:val="3"/>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新区广场 </w:t>
            </w:r>
          </w:p>
        </w:tc>
        <w:tc>
          <w:tcPr>
            <w:tcW w:w="892" w:type="pct"/>
            <w:tcBorders>
              <w:top w:val="single" w:color="000000" w:sz="8" w:space="0"/>
              <w:left w:val="single" w:color="000000" w:sz="8" w:space="0"/>
              <w:bottom w:val="single" w:color="000000" w:sz="8" w:space="0"/>
              <w:right w:val="single" w:color="000000" w:sz="8" w:space="0"/>
            </w:tcBorders>
            <w:shd w:val="clear" w:color="auto" w:fill="auto"/>
            <w:tcMar>
              <w:top w:w="15" w:type="dxa"/>
              <w:left w:w="57" w:type="dxa"/>
              <w:bottom w:w="0" w:type="dxa"/>
              <w:right w:w="57" w:type="dxa"/>
            </w:tcMar>
            <w:vAlign w:val="center"/>
          </w:tcPr>
          <w:p w14:paraId="084BD6B1">
            <w:pPr>
              <w:pStyle w:val="3"/>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城镇 </w:t>
            </w:r>
          </w:p>
        </w:tc>
        <w:tc>
          <w:tcPr>
            <w:tcW w:w="917" w:type="pct"/>
            <w:tcBorders>
              <w:top w:val="single" w:color="000000" w:sz="8" w:space="0"/>
              <w:left w:val="single" w:color="000000" w:sz="8" w:space="0"/>
              <w:bottom w:val="single" w:color="000000" w:sz="8" w:space="0"/>
              <w:right w:val="single" w:color="000000" w:sz="8" w:space="0"/>
            </w:tcBorders>
            <w:shd w:val="clear" w:color="auto" w:fill="auto"/>
            <w:tcMar>
              <w:top w:w="15" w:type="dxa"/>
              <w:left w:w="57" w:type="dxa"/>
              <w:bottom w:w="0" w:type="dxa"/>
              <w:right w:w="57" w:type="dxa"/>
            </w:tcMar>
            <w:vAlign w:val="center"/>
          </w:tcPr>
          <w:p w14:paraId="56494F9E">
            <w:pPr>
              <w:pStyle w:val="3"/>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6:30-23:00 </w:t>
            </w:r>
          </w:p>
        </w:tc>
      </w:tr>
      <w:tr w14:paraId="7A62B1E3">
        <w:tblPrEx>
          <w:tblCellMar>
            <w:top w:w="0" w:type="dxa"/>
            <w:left w:w="0" w:type="dxa"/>
            <w:bottom w:w="0" w:type="dxa"/>
            <w:right w:w="0" w:type="dxa"/>
          </w:tblCellMar>
        </w:tblPrEx>
        <w:trPr>
          <w:trHeight w:val="876" w:hRule="atLeast"/>
          <w:jc w:val="center"/>
        </w:trPr>
        <w:tc>
          <w:tcPr>
            <w:tcW w:w="446" w:type="pct"/>
            <w:tcBorders>
              <w:top w:val="single" w:color="000000" w:sz="8" w:space="0"/>
              <w:left w:val="single" w:color="000000" w:sz="8" w:space="0"/>
              <w:bottom w:val="single" w:color="000000" w:sz="8" w:space="0"/>
              <w:right w:val="single" w:color="000000" w:sz="8" w:space="0"/>
            </w:tcBorders>
            <w:shd w:val="clear" w:color="auto" w:fill="auto"/>
            <w:tcMar>
              <w:top w:w="15" w:type="dxa"/>
              <w:left w:w="57" w:type="dxa"/>
              <w:bottom w:w="0" w:type="dxa"/>
              <w:right w:w="57" w:type="dxa"/>
            </w:tcMar>
            <w:vAlign w:val="center"/>
          </w:tcPr>
          <w:p w14:paraId="0C550152">
            <w:pPr>
              <w:pStyle w:val="3"/>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3 </w:t>
            </w:r>
          </w:p>
        </w:tc>
        <w:tc>
          <w:tcPr>
            <w:tcW w:w="1644" w:type="pct"/>
            <w:tcBorders>
              <w:top w:val="single" w:color="000000" w:sz="8" w:space="0"/>
              <w:left w:val="single" w:color="000000" w:sz="8" w:space="0"/>
              <w:bottom w:val="single" w:color="000000" w:sz="8" w:space="0"/>
              <w:right w:val="single" w:color="000000" w:sz="8" w:space="0"/>
            </w:tcBorders>
            <w:shd w:val="clear" w:color="auto" w:fill="auto"/>
            <w:tcMar>
              <w:top w:w="15" w:type="dxa"/>
              <w:left w:w="57" w:type="dxa"/>
              <w:bottom w:w="0" w:type="dxa"/>
              <w:right w:w="57" w:type="dxa"/>
            </w:tcMar>
            <w:vAlign w:val="center"/>
          </w:tcPr>
          <w:p w14:paraId="3728C6F8">
            <w:pPr>
              <w:pStyle w:val="3"/>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新区广场公厕（西） </w:t>
            </w:r>
          </w:p>
        </w:tc>
        <w:tc>
          <w:tcPr>
            <w:tcW w:w="1098" w:type="pct"/>
            <w:tcBorders>
              <w:top w:val="single" w:color="000000" w:sz="8" w:space="0"/>
              <w:left w:val="single" w:color="000000" w:sz="8" w:space="0"/>
              <w:bottom w:val="single" w:color="000000" w:sz="8" w:space="0"/>
              <w:right w:val="single" w:color="000000" w:sz="8" w:space="0"/>
            </w:tcBorders>
            <w:shd w:val="clear" w:color="auto" w:fill="auto"/>
            <w:tcMar>
              <w:top w:w="15" w:type="dxa"/>
              <w:left w:w="57" w:type="dxa"/>
              <w:bottom w:w="0" w:type="dxa"/>
              <w:right w:w="57" w:type="dxa"/>
            </w:tcMar>
            <w:vAlign w:val="center"/>
          </w:tcPr>
          <w:p w14:paraId="2635FAB3">
            <w:pPr>
              <w:pStyle w:val="3"/>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新区广场 </w:t>
            </w:r>
          </w:p>
        </w:tc>
        <w:tc>
          <w:tcPr>
            <w:tcW w:w="892" w:type="pct"/>
            <w:tcBorders>
              <w:top w:val="single" w:color="000000" w:sz="8" w:space="0"/>
              <w:left w:val="single" w:color="000000" w:sz="8" w:space="0"/>
              <w:bottom w:val="single" w:color="000000" w:sz="8" w:space="0"/>
              <w:right w:val="single" w:color="000000" w:sz="8" w:space="0"/>
            </w:tcBorders>
            <w:shd w:val="clear" w:color="auto" w:fill="auto"/>
            <w:tcMar>
              <w:top w:w="15" w:type="dxa"/>
              <w:left w:w="57" w:type="dxa"/>
              <w:bottom w:w="0" w:type="dxa"/>
              <w:right w:w="57" w:type="dxa"/>
            </w:tcMar>
            <w:vAlign w:val="center"/>
          </w:tcPr>
          <w:p w14:paraId="78B711CF">
            <w:pPr>
              <w:pStyle w:val="3"/>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城镇 </w:t>
            </w:r>
          </w:p>
        </w:tc>
        <w:tc>
          <w:tcPr>
            <w:tcW w:w="917" w:type="pct"/>
            <w:tcBorders>
              <w:top w:val="single" w:color="000000" w:sz="8" w:space="0"/>
              <w:left w:val="single" w:color="000000" w:sz="8" w:space="0"/>
              <w:bottom w:val="single" w:color="000000" w:sz="8" w:space="0"/>
              <w:right w:val="single" w:color="000000" w:sz="8" w:space="0"/>
            </w:tcBorders>
            <w:shd w:val="clear" w:color="auto" w:fill="auto"/>
            <w:tcMar>
              <w:top w:w="15" w:type="dxa"/>
              <w:left w:w="57" w:type="dxa"/>
              <w:bottom w:w="0" w:type="dxa"/>
              <w:right w:w="57" w:type="dxa"/>
            </w:tcMar>
            <w:vAlign w:val="center"/>
          </w:tcPr>
          <w:p w14:paraId="665D4674">
            <w:pPr>
              <w:pStyle w:val="3"/>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6:30-23:00 </w:t>
            </w:r>
          </w:p>
        </w:tc>
      </w:tr>
      <w:tr w14:paraId="47FF13FA">
        <w:tblPrEx>
          <w:tblCellMar>
            <w:top w:w="0" w:type="dxa"/>
            <w:left w:w="0" w:type="dxa"/>
            <w:bottom w:w="0" w:type="dxa"/>
            <w:right w:w="0" w:type="dxa"/>
          </w:tblCellMar>
        </w:tblPrEx>
        <w:trPr>
          <w:trHeight w:val="876" w:hRule="atLeast"/>
          <w:jc w:val="center"/>
        </w:trPr>
        <w:tc>
          <w:tcPr>
            <w:tcW w:w="446" w:type="pct"/>
            <w:tcBorders>
              <w:top w:val="single" w:color="000000" w:sz="8" w:space="0"/>
              <w:left w:val="single" w:color="000000" w:sz="8" w:space="0"/>
              <w:bottom w:val="single" w:color="000000" w:sz="8" w:space="0"/>
              <w:right w:val="single" w:color="000000" w:sz="8" w:space="0"/>
            </w:tcBorders>
            <w:shd w:val="clear" w:color="auto" w:fill="auto"/>
            <w:tcMar>
              <w:top w:w="15" w:type="dxa"/>
              <w:left w:w="57" w:type="dxa"/>
              <w:bottom w:w="0" w:type="dxa"/>
              <w:right w:w="57" w:type="dxa"/>
            </w:tcMar>
            <w:vAlign w:val="center"/>
          </w:tcPr>
          <w:p w14:paraId="0412A083">
            <w:pPr>
              <w:pStyle w:val="3"/>
              <w:rPr>
                <w:rFonts w:hint="eastAsia" w:ascii="宋体" w:hAnsi="宋体" w:eastAsia="宋体" w:cs="宋体"/>
                <w:sz w:val="24"/>
                <w:szCs w:val="24"/>
                <w:highlight w:val="none"/>
              </w:rPr>
            </w:pPr>
            <w:r>
              <w:rPr>
                <w:rFonts w:hint="eastAsia" w:ascii="宋体" w:hAnsi="宋体" w:eastAsia="宋体" w:cs="宋体"/>
                <w:sz w:val="24"/>
                <w:szCs w:val="24"/>
                <w:highlight w:val="none"/>
              </w:rPr>
              <w:t>4</w:t>
            </w:r>
          </w:p>
        </w:tc>
        <w:tc>
          <w:tcPr>
            <w:tcW w:w="1644" w:type="pct"/>
            <w:tcBorders>
              <w:top w:val="single" w:color="000000" w:sz="8" w:space="0"/>
              <w:left w:val="single" w:color="000000" w:sz="8" w:space="0"/>
              <w:bottom w:val="single" w:color="000000" w:sz="8" w:space="0"/>
              <w:right w:val="single" w:color="000000" w:sz="8" w:space="0"/>
            </w:tcBorders>
            <w:shd w:val="clear" w:color="auto" w:fill="auto"/>
            <w:tcMar>
              <w:top w:w="15" w:type="dxa"/>
              <w:left w:w="57" w:type="dxa"/>
              <w:bottom w:w="0" w:type="dxa"/>
              <w:right w:w="57" w:type="dxa"/>
            </w:tcMar>
            <w:vAlign w:val="center"/>
          </w:tcPr>
          <w:p w14:paraId="42567DDF">
            <w:pPr>
              <w:pStyle w:val="3"/>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辅道西段公厕（东） </w:t>
            </w:r>
          </w:p>
        </w:tc>
        <w:tc>
          <w:tcPr>
            <w:tcW w:w="1098" w:type="pct"/>
            <w:tcBorders>
              <w:top w:val="single" w:color="000000" w:sz="8" w:space="0"/>
              <w:left w:val="single" w:color="000000" w:sz="8" w:space="0"/>
              <w:bottom w:val="single" w:color="000000" w:sz="8" w:space="0"/>
              <w:right w:val="single" w:color="000000" w:sz="8" w:space="0"/>
            </w:tcBorders>
            <w:shd w:val="clear" w:color="auto" w:fill="auto"/>
            <w:tcMar>
              <w:top w:w="15" w:type="dxa"/>
              <w:left w:w="57" w:type="dxa"/>
              <w:bottom w:w="0" w:type="dxa"/>
              <w:right w:w="57" w:type="dxa"/>
            </w:tcMar>
            <w:vAlign w:val="center"/>
          </w:tcPr>
          <w:p w14:paraId="68CC09A0">
            <w:pPr>
              <w:pStyle w:val="3"/>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泰和社区北门东 </w:t>
            </w:r>
          </w:p>
        </w:tc>
        <w:tc>
          <w:tcPr>
            <w:tcW w:w="892" w:type="pct"/>
            <w:tcBorders>
              <w:top w:val="single" w:color="000000" w:sz="8" w:space="0"/>
              <w:left w:val="single" w:color="000000" w:sz="8" w:space="0"/>
              <w:bottom w:val="single" w:color="000000" w:sz="8" w:space="0"/>
              <w:right w:val="single" w:color="000000" w:sz="8" w:space="0"/>
            </w:tcBorders>
            <w:shd w:val="clear" w:color="auto" w:fill="auto"/>
            <w:tcMar>
              <w:top w:w="15" w:type="dxa"/>
              <w:left w:w="57" w:type="dxa"/>
              <w:bottom w:w="0" w:type="dxa"/>
              <w:right w:w="57" w:type="dxa"/>
            </w:tcMar>
            <w:vAlign w:val="center"/>
          </w:tcPr>
          <w:p w14:paraId="20EC0731">
            <w:pPr>
              <w:pStyle w:val="3"/>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城镇 </w:t>
            </w:r>
          </w:p>
        </w:tc>
        <w:tc>
          <w:tcPr>
            <w:tcW w:w="917" w:type="pct"/>
            <w:tcBorders>
              <w:top w:val="single" w:color="000000" w:sz="8" w:space="0"/>
              <w:left w:val="single" w:color="000000" w:sz="8" w:space="0"/>
              <w:bottom w:val="single" w:color="000000" w:sz="8" w:space="0"/>
              <w:right w:val="single" w:color="000000" w:sz="8" w:space="0"/>
            </w:tcBorders>
            <w:shd w:val="clear" w:color="auto" w:fill="auto"/>
            <w:tcMar>
              <w:top w:w="15" w:type="dxa"/>
              <w:left w:w="57" w:type="dxa"/>
              <w:bottom w:w="0" w:type="dxa"/>
              <w:right w:w="57" w:type="dxa"/>
            </w:tcMar>
            <w:vAlign w:val="center"/>
          </w:tcPr>
          <w:p w14:paraId="7ABB613F">
            <w:pPr>
              <w:pStyle w:val="3"/>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6:30-23:00 </w:t>
            </w:r>
          </w:p>
        </w:tc>
      </w:tr>
      <w:tr w14:paraId="1512E91B">
        <w:tblPrEx>
          <w:tblCellMar>
            <w:top w:w="0" w:type="dxa"/>
            <w:left w:w="0" w:type="dxa"/>
            <w:bottom w:w="0" w:type="dxa"/>
            <w:right w:w="0" w:type="dxa"/>
          </w:tblCellMar>
        </w:tblPrEx>
        <w:trPr>
          <w:trHeight w:val="876" w:hRule="atLeast"/>
          <w:jc w:val="center"/>
        </w:trPr>
        <w:tc>
          <w:tcPr>
            <w:tcW w:w="446" w:type="pct"/>
            <w:tcBorders>
              <w:top w:val="single" w:color="000000" w:sz="8" w:space="0"/>
              <w:left w:val="single" w:color="000000" w:sz="8" w:space="0"/>
              <w:bottom w:val="single" w:color="000000" w:sz="8" w:space="0"/>
              <w:right w:val="single" w:color="000000" w:sz="8" w:space="0"/>
            </w:tcBorders>
            <w:shd w:val="clear" w:color="auto" w:fill="auto"/>
            <w:tcMar>
              <w:top w:w="15" w:type="dxa"/>
              <w:left w:w="57" w:type="dxa"/>
              <w:bottom w:w="0" w:type="dxa"/>
              <w:right w:w="57" w:type="dxa"/>
            </w:tcMar>
            <w:vAlign w:val="center"/>
          </w:tcPr>
          <w:p w14:paraId="395EEFBA">
            <w:pPr>
              <w:pStyle w:val="3"/>
              <w:rPr>
                <w:rFonts w:hint="eastAsia" w:ascii="宋体" w:hAnsi="宋体" w:eastAsia="宋体" w:cs="宋体"/>
                <w:sz w:val="24"/>
                <w:szCs w:val="24"/>
                <w:highlight w:val="none"/>
              </w:rPr>
            </w:pPr>
            <w:r>
              <w:rPr>
                <w:rFonts w:hint="eastAsia" w:ascii="宋体" w:hAnsi="宋体" w:eastAsia="宋体" w:cs="宋体"/>
                <w:sz w:val="24"/>
                <w:szCs w:val="24"/>
                <w:highlight w:val="none"/>
              </w:rPr>
              <w:t>5</w:t>
            </w:r>
          </w:p>
        </w:tc>
        <w:tc>
          <w:tcPr>
            <w:tcW w:w="1644" w:type="pct"/>
            <w:tcBorders>
              <w:top w:val="single" w:color="000000" w:sz="8" w:space="0"/>
              <w:left w:val="single" w:color="000000" w:sz="8" w:space="0"/>
              <w:bottom w:val="single" w:color="000000" w:sz="8" w:space="0"/>
              <w:right w:val="single" w:color="000000" w:sz="8" w:space="0"/>
            </w:tcBorders>
            <w:shd w:val="clear" w:color="auto" w:fill="auto"/>
            <w:tcMar>
              <w:top w:w="15" w:type="dxa"/>
              <w:left w:w="57" w:type="dxa"/>
              <w:bottom w:w="0" w:type="dxa"/>
              <w:right w:w="57" w:type="dxa"/>
            </w:tcMar>
            <w:vAlign w:val="center"/>
          </w:tcPr>
          <w:p w14:paraId="58C668A8">
            <w:pPr>
              <w:pStyle w:val="3"/>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辅道西段公厕（西） </w:t>
            </w:r>
          </w:p>
        </w:tc>
        <w:tc>
          <w:tcPr>
            <w:tcW w:w="1098" w:type="pct"/>
            <w:tcBorders>
              <w:top w:val="single" w:color="000000" w:sz="8" w:space="0"/>
              <w:left w:val="single" w:color="000000" w:sz="8" w:space="0"/>
              <w:bottom w:val="single" w:color="000000" w:sz="8" w:space="0"/>
              <w:right w:val="single" w:color="000000" w:sz="8" w:space="0"/>
            </w:tcBorders>
            <w:shd w:val="clear" w:color="auto" w:fill="auto"/>
            <w:tcMar>
              <w:top w:w="15" w:type="dxa"/>
              <w:left w:w="57" w:type="dxa"/>
              <w:bottom w:w="0" w:type="dxa"/>
              <w:right w:w="57" w:type="dxa"/>
            </w:tcMar>
            <w:vAlign w:val="center"/>
          </w:tcPr>
          <w:p w14:paraId="6B0A4CE4">
            <w:pPr>
              <w:pStyle w:val="3"/>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泰和社区北门西 </w:t>
            </w:r>
          </w:p>
        </w:tc>
        <w:tc>
          <w:tcPr>
            <w:tcW w:w="892" w:type="pct"/>
            <w:tcBorders>
              <w:top w:val="single" w:color="000000" w:sz="8" w:space="0"/>
              <w:left w:val="single" w:color="000000" w:sz="8" w:space="0"/>
              <w:bottom w:val="single" w:color="000000" w:sz="8" w:space="0"/>
              <w:right w:val="single" w:color="000000" w:sz="8" w:space="0"/>
            </w:tcBorders>
            <w:shd w:val="clear" w:color="auto" w:fill="auto"/>
            <w:tcMar>
              <w:top w:w="15" w:type="dxa"/>
              <w:left w:w="57" w:type="dxa"/>
              <w:bottom w:w="0" w:type="dxa"/>
              <w:right w:w="57" w:type="dxa"/>
            </w:tcMar>
            <w:vAlign w:val="center"/>
          </w:tcPr>
          <w:p w14:paraId="1A6FDB83">
            <w:pPr>
              <w:pStyle w:val="3"/>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城镇 </w:t>
            </w:r>
          </w:p>
        </w:tc>
        <w:tc>
          <w:tcPr>
            <w:tcW w:w="917" w:type="pct"/>
            <w:tcBorders>
              <w:top w:val="single" w:color="000000" w:sz="8" w:space="0"/>
              <w:left w:val="single" w:color="000000" w:sz="8" w:space="0"/>
              <w:bottom w:val="single" w:color="000000" w:sz="8" w:space="0"/>
              <w:right w:val="single" w:color="000000" w:sz="8" w:space="0"/>
            </w:tcBorders>
            <w:shd w:val="clear" w:color="auto" w:fill="auto"/>
            <w:tcMar>
              <w:top w:w="15" w:type="dxa"/>
              <w:left w:w="57" w:type="dxa"/>
              <w:bottom w:w="0" w:type="dxa"/>
              <w:right w:w="57" w:type="dxa"/>
            </w:tcMar>
            <w:vAlign w:val="center"/>
          </w:tcPr>
          <w:p w14:paraId="60219102">
            <w:pPr>
              <w:pStyle w:val="3"/>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6:30-23:00 </w:t>
            </w:r>
          </w:p>
        </w:tc>
      </w:tr>
      <w:tr w14:paraId="0045D53F">
        <w:tblPrEx>
          <w:tblCellMar>
            <w:top w:w="0" w:type="dxa"/>
            <w:left w:w="0" w:type="dxa"/>
            <w:bottom w:w="0" w:type="dxa"/>
            <w:right w:w="0" w:type="dxa"/>
          </w:tblCellMar>
        </w:tblPrEx>
        <w:trPr>
          <w:trHeight w:val="896" w:hRule="atLeast"/>
          <w:jc w:val="center"/>
        </w:trPr>
        <w:tc>
          <w:tcPr>
            <w:tcW w:w="446" w:type="pct"/>
            <w:tcBorders>
              <w:top w:val="single" w:color="000000" w:sz="8" w:space="0"/>
              <w:left w:val="single" w:color="000000" w:sz="8" w:space="0"/>
              <w:bottom w:val="single" w:color="000000" w:sz="8" w:space="0"/>
              <w:right w:val="single" w:color="000000" w:sz="8" w:space="0"/>
            </w:tcBorders>
            <w:shd w:val="clear" w:color="auto" w:fill="auto"/>
            <w:tcMar>
              <w:top w:w="15" w:type="dxa"/>
              <w:left w:w="57" w:type="dxa"/>
              <w:bottom w:w="0" w:type="dxa"/>
              <w:right w:w="57" w:type="dxa"/>
            </w:tcMar>
            <w:vAlign w:val="center"/>
          </w:tcPr>
          <w:p w14:paraId="451B014B">
            <w:pPr>
              <w:pStyle w:val="3"/>
              <w:rPr>
                <w:rFonts w:hint="eastAsia" w:ascii="宋体" w:hAnsi="宋体" w:eastAsia="宋体" w:cs="宋体"/>
                <w:sz w:val="24"/>
                <w:szCs w:val="24"/>
                <w:highlight w:val="none"/>
              </w:rPr>
            </w:pPr>
            <w:r>
              <w:rPr>
                <w:rFonts w:hint="eastAsia" w:ascii="宋体" w:hAnsi="宋体" w:eastAsia="宋体" w:cs="宋体"/>
                <w:sz w:val="24"/>
                <w:szCs w:val="24"/>
                <w:highlight w:val="none"/>
              </w:rPr>
              <w:t>6</w:t>
            </w:r>
          </w:p>
        </w:tc>
        <w:tc>
          <w:tcPr>
            <w:tcW w:w="1644" w:type="pct"/>
            <w:tcBorders>
              <w:top w:val="single" w:color="000000" w:sz="8" w:space="0"/>
              <w:left w:val="single" w:color="000000" w:sz="8" w:space="0"/>
              <w:bottom w:val="single" w:color="000000" w:sz="8" w:space="0"/>
              <w:right w:val="single" w:color="000000" w:sz="8" w:space="0"/>
            </w:tcBorders>
            <w:shd w:val="clear" w:color="auto" w:fill="auto"/>
            <w:tcMar>
              <w:top w:w="15" w:type="dxa"/>
              <w:left w:w="57" w:type="dxa"/>
              <w:bottom w:w="0" w:type="dxa"/>
              <w:right w:w="57" w:type="dxa"/>
            </w:tcMar>
            <w:vAlign w:val="center"/>
          </w:tcPr>
          <w:p w14:paraId="71CF0626">
            <w:pPr>
              <w:pStyle w:val="3"/>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辅道东段公厕 </w:t>
            </w:r>
          </w:p>
        </w:tc>
        <w:tc>
          <w:tcPr>
            <w:tcW w:w="1098" w:type="pct"/>
            <w:tcBorders>
              <w:top w:val="single" w:color="000000" w:sz="8" w:space="0"/>
              <w:left w:val="single" w:color="000000" w:sz="8" w:space="0"/>
              <w:bottom w:val="single" w:color="000000" w:sz="8" w:space="0"/>
              <w:right w:val="single" w:color="000000" w:sz="8" w:space="0"/>
            </w:tcBorders>
            <w:shd w:val="clear" w:color="auto" w:fill="auto"/>
            <w:tcMar>
              <w:top w:w="15" w:type="dxa"/>
              <w:left w:w="57" w:type="dxa"/>
              <w:bottom w:w="0" w:type="dxa"/>
              <w:right w:w="57" w:type="dxa"/>
            </w:tcMar>
            <w:vAlign w:val="center"/>
          </w:tcPr>
          <w:p w14:paraId="04AACB75">
            <w:pPr>
              <w:pStyle w:val="3"/>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经一路路口 </w:t>
            </w:r>
          </w:p>
        </w:tc>
        <w:tc>
          <w:tcPr>
            <w:tcW w:w="892" w:type="pct"/>
            <w:tcBorders>
              <w:top w:val="single" w:color="000000" w:sz="8" w:space="0"/>
              <w:left w:val="single" w:color="000000" w:sz="8" w:space="0"/>
              <w:bottom w:val="single" w:color="000000" w:sz="8" w:space="0"/>
              <w:right w:val="single" w:color="000000" w:sz="8" w:space="0"/>
            </w:tcBorders>
            <w:shd w:val="clear" w:color="auto" w:fill="auto"/>
            <w:tcMar>
              <w:top w:w="15" w:type="dxa"/>
              <w:left w:w="57" w:type="dxa"/>
              <w:bottom w:w="0" w:type="dxa"/>
              <w:right w:w="57" w:type="dxa"/>
            </w:tcMar>
            <w:vAlign w:val="center"/>
          </w:tcPr>
          <w:p w14:paraId="004BF20C">
            <w:pPr>
              <w:pStyle w:val="3"/>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城镇 </w:t>
            </w:r>
          </w:p>
        </w:tc>
        <w:tc>
          <w:tcPr>
            <w:tcW w:w="917" w:type="pct"/>
            <w:tcBorders>
              <w:top w:val="single" w:color="000000" w:sz="8" w:space="0"/>
              <w:left w:val="single" w:color="000000" w:sz="8" w:space="0"/>
              <w:bottom w:val="single" w:color="000000" w:sz="8" w:space="0"/>
              <w:right w:val="single" w:color="000000" w:sz="8" w:space="0"/>
            </w:tcBorders>
            <w:shd w:val="clear" w:color="auto" w:fill="auto"/>
            <w:tcMar>
              <w:top w:w="15" w:type="dxa"/>
              <w:left w:w="57" w:type="dxa"/>
              <w:bottom w:w="0" w:type="dxa"/>
              <w:right w:w="57" w:type="dxa"/>
            </w:tcMar>
            <w:vAlign w:val="center"/>
          </w:tcPr>
          <w:p w14:paraId="110369FB">
            <w:pPr>
              <w:pStyle w:val="3"/>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6:30-23:00  </w:t>
            </w:r>
          </w:p>
        </w:tc>
      </w:tr>
    </w:tbl>
    <w:p w14:paraId="10109FCF">
      <w:pPr>
        <w:rPr>
          <w:rFonts w:hint="eastAsia" w:ascii="宋体" w:hAnsi="宋体" w:eastAsia="宋体" w:cs="宋体"/>
          <w:sz w:val="24"/>
          <w:szCs w:val="24"/>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6E0C31F6">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附件                 2草堂街道环卫保洁工作</w:t>
      </w:r>
    </w:p>
    <w:p w14:paraId="66BB2D88">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外包项目服务质量工作考核办法</w:t>
      </w:r>
    </w:p>
    <w:p w14:paraId="0691180B">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sz w:val="24"/>
          <w:szCs w:val="24"/>
          <w:highlight w:val="none"/>
          <w:lang w:val="en-US" w:eastAsia="zh-CN"/>
        </w:rPr>
      </w:pPr>
    </w:p>
    <w:p w14:paraId="188EC8BF">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为了深入贯彻落实高新区党工委、管委会关于环卫作业市场化运营的文件精神，建立健全草堂街道环卫车辆管理工作制度，进一步巩固提升草堂街道环境卫生、垃圾分类和精细化管理工作水平，促使环卫工作再上新台阶，按照管委会的工作安排和高新区城市管理与综合执法局的工作要求，结合我街道实际，特制定草堂街道环卫各项外包服务项目质量考核办法，具体内容如下：</w:t>
      </w:r>
    </w:p>
    <w:p w14:paraId="4D43D526">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2" w:firstLineChars="200"/>
        <w:textAlignment w:val="auto"/>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一、考核机构</w:t>
      </w:r>
    </w:p>
    <w:p w14:paraId="6405F1CE">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成立草堂街道环境工作督查工作考核领导小组</w:t>
      </w:r>
    </w:p>
    <w:p w14:paraId="76CBEB04">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组  长：张华</w:t>
      </w:r>
    </w:p>
    <w:p w14:paraId="3CE32D81">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副组长：张力</w:t>
      </w:r>
    </w:p>
    <w:p w14:paraId="41793683">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考核领导小组办公室设在城市综合管理办公室，办公室主任由李楠同志担任，成员由城市综合管理办公室惠钦佩同志、秦辉同志、杨岩同志组成。</w:t>
      </w:r>
    </w:p>
    <w:p w14:paraId="536980F5">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2" w:firstLineChars="200"/>
        <w:textAlignment w:val="auto"/>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二、工作职责</w:t>
      </w:r>
    </w:p>
    <w:p w14:paraId="3E007C4B">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考核组按照环卫管理相关工作要求、外包合同内容和考核细则，对街区环境卫生、道路保洁、公厕管理、垃圾清运、车辆管理等方面的工作进行考核。</w:t>
      </w:r>
    </w:p>
    <w:p w14:paraId="6892E5C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2" w:firstLineChars="200"/>
        <w:textAlignment w:val="auto"/>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三、考核对象</w:t>
      </w:r>
    </w:p>
    <w:p w14:paraId="7478B07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承包辖区道路保洁、公厕管理、垃圾清运项目的第三方公司的作业服务质量。</w:t>
      </w:r>
    </w:p>
    <w:p w14:paraId="7EBEB946">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2" w:firstLineChars="200"/>
        <w:textAlignment w:val="auto"/>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四、考核依据</w:t>
      </w:r>
    </w:p>
    <w:p w14:paraId="1AED3247">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《草堂街道办事处精细化管理工作实施方案》《西安市生活垃圾分类管理条例》《草堂街道环卫车辆管理办法》和党工委、办事处安排的任务落实情况及日常作业质量。</w:t>
      </w:r>
    </w:p>
    <w:p w14:paraId="07DA3732">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2" w:firstLineChars="200"/>
        <w:textAlignment w:val="auto"/>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五、考核细则</w:t>
      </w:r>
    </w:p>
    <w:p w14:paraId="773A32C9">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（一）环卫管理机制建设。完善公司制度建设，做好道路清扫保洁、公厕管理、垃圾分类及清运、安全生产、环卫人员考勤及教育培训和车辆管理等委托作业事项的档案资料。</w:t>
      </w:r>
    </w:p>
    <w:p w14:paraId="5958B49D">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（二）环卫系统处置情况。智慧城管数字化平台案件管理处置及时、道路走航系统接警及时、督办案件整改处置到位。</w:t>
      </w:r>
    </w:p>
    <w:p w14:paraId="135D24A5">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（三）保洁作业实效。</w:t>
      </w:r>
    </w:p>
    <w:p w14:paraId="1BA0A9E7">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1.承包道路必须做到每日两次清扫保洁，清扫到位且无卫生死角，垃圾及时收运无残留，保证路面干净整洁，无杂物堆积，道路两侧可视范围内无白色垃圾。</w:t>
      </w:r>
    </w:p>
    <w:p w14:paraId="5B153D1C">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2.垃圾垃圾收集设施完好，封闭性好，外体干净，无臭味；无垃圾外溢现象、无垃圾焚烧现象；生活垃圾日产日清不堆积。</w:t>
      </w:r>
    </w:p>
    <w:p w14:paraId="7698DFCC">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3.每周对垃圾分类桶、果皮箱、公交站、路灯箱和电线杆等城市家具开展一次大擦洗活动，及时清除涂鸦广告，雨雪沙尘天气后开展专项擦洗活动。</w:t>
      </w:r>
    </w:p>
    <w:p w14:paraId="4FA40DD2">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4.公厕按时开放，公厕设施设备完整，运行正常，维修及时，满足群众入厕需求；公厕内外环卫保洁工作质量良好，每日保洁消杀到位，厕所内无臭味；公厕管理工作台账完备。</w:t>
      </w:r>
    </w:p>
    <w:p w14:paraId="0495469A">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5.每日对清运车辆收集的垃圾及时转运处理，做好记录台账；按照区城管局环卫车辆日常管理要求，对配置的环卫车辆做好维护保养，保证每辆车正常作业，无爬卧现象。</w:t>
      </w:r>
    </w:p>
    <w:p w14:paraId="171E54CC">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6.有被上级部门通报批评、督查督办或被媒体曝光等情况，整改及时且效果明显，不扣分；整改不及时影响区级考核排名的，每件扣5分；被群众举报，造成较大影响的问题，每次扣1分。</w:t>
      </w:r>
    </w:p>
    <w:p w14:paraId="5A9022C3">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2" w:firstLineChars="200"/>
        <w:textAlignment w:val="auto"/>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六、评分办法</w:t>
      </w:r>
    </w:p>
    <w:p w14:paraId="4A9CE391">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采取定期、不定期检查评估，按照“一月一评估、一月一考核的方式”，参照草堂街道环卫保洁公厕管理服务质量考核表，对第三方公司开展考核，作为支付依据。</w:t>
      </w:r>
    </w:p>
    <w:p w14:paraId="64AB7547">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2" w:firstLineChars="200"/>
        <w:textAlignment w:val="auto"/>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七、考核结果和作用</w:t>
      </w:r>
    </w:p>
    <w:p w14:paraId="5F0BAED3">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对第三方承包公司的考核分值每月满分100分，80分视为合格分。</w:t>
      </w:r>
    </w:p>
    <w:p w14:paraId="50531BAA">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both"/>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月考核分≥80，按照考核减分项，每分扣除200元；月考核分＜80，将视为承包公司未完成合同承诺的工作任务，街道办事处将从每月应向第三方承包公司支付外包合同规定的应付金额中扣除一定数量的金额，并予以警告。</w:t>
      </w:r>
    </w:p>
    <w:p w14:paraId="0A031E54">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2" w:firstLineChars="200"/>
        <w:textAlignment w:val="auto"/>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八、考核分值表</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0F724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noWrap w:val="0"/>
            <w:vAlign w:val="top"/>
          </w:tcPr>
          <w:p w14:paraId="2E7D1F1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80≤月度考核分值≤100</w:t>
            </w:r>
          </w:p>
        </w:tc>
        <w:tc>
          <w:tcPr>
            <w:tcW w:w="4261" w:type="dxa"/>
            <w:noWrap w:val="0"/>
            <w:vAlign w:val="top"/>
          </w:tcPr>
          <w:p w14:paraId="244B873B">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足额付款100%</w:t>
            </w:r>
          </w:p>
        </w:tc>
      </w:tr>
      <w:tr w14:paraId="40E46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noWrap w:val="0"/>
            <w:vAlign w:val="top"/>
          </w:tcPr>
          <w:p w14:paraId="5143FEB8">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70≤月度考核分值＜80</w:t>
            </w:r>
          </w:p>
        </w:tc>
        <w:tc>
          <w:tcPr>
            <w:tcW w:w="4261" w:type="dxa"/>
            <w:noWrap w:val="0"/>
            <w:vAlign w:val="top"/>
          </w:tcPr>
          <w:p w14:paraId="2D7BD167">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足额付款90%</w:t>
            </w:r>
          </w:p>
        </w:tc>
      </w:tr>
      <w:tr w14:paraId="7D4B8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noWrap w:val="0"/>
            <w:vAlign w:val="top"/>
          </w:tcPr>
          <w:p w14:paraId="59E86D17">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60≤月度考核分值＜70</w:t>
            </w:r>
          </w:p>
        </w:tc>
        <w:tc>
          <w:tcPr>
            <w:tcW w:w="4261" w:type="dxa"/>
            <w:noWrap w:val="0"/>
            <w:vAlign w:val="top"/>
          </w:tcPr>
          <w:p w14:paraId="1B089A7B">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足额付款80%</w:t>
            </w:r>
          </w:p>
        </w:tc>
      </w:tr>
      <w:tr w14:paraId="539C3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noWrap w:val="0"/>
            <w:vAlign w:val="top"/>
          </w:tcPr>
          <w:p w14:paraId="178F96F1">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60分以下</w:t>
            </w:r>
          </w:p>
        </w:tc>
        <w:tc>
          <w:tcPr>
            <w:tcW w:w="4261" w:type="dxa"/>
            <w:noWrap w:val="0"/>
            <w:vAlign w:val="top"/>
          </w:tcPr>
          <w:p w14:paraId="2FC9E0A3">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足额付款50%</w:t>
            </w:r>
          </w:p>
        </w:tc>
      </w:tr>
    </w:tbl>
    <w:p w14:paraId="0CAD27E7">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根据考核表，每月考核结果双方签字确认，作为付款依据。</w:t>
      </w:r>
    </w:p>
    <w:p w14:paraId="23498848">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ascii="宋体" w:hAnsi="宋体" w:eastAsia="宋体" w:cs="宋体"/>
          <w:kern w:val="2"/>
          <w:sz w:val="24"/>
          <w:szCs w:val="24"/>
          <w:highlight w:val="none"/>
          <w:lang w:val="en-US" w:eastAsia="zh-CN" w:bidi="ar-SA"/>
        </w:rPr>
      </w:pPr>
    </w:p>
    <w:p w14:paraId="7D2DBA4A">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ascii="宋体" w:hAnsi="宋体" w:eastAsia="宋体" w:cs="宋体"/>
          <w:kern w:val="2"/>
          <w:sz w:val="24"/>
          <w:szCs w:val="24"/>
          <w:highlight w:val="none"/>
          <w:lang w:val="en-US" w:eastAsia="zh-CN" w:bidi="ar-SA"/>
        </w:rPr>
      </w:pPr>
    </w:p>
    <w:p w14:paraId="6FDF3327">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ascii="宋体" w:hAnsi="宋体" w:eastAsia="宋体" w:cs="宋体"/>
          <w:kern w:val="2"/>
          <w:sz w:val="24"/>
          <w:szCs w:val="24"/>
          <w:highlight w:val="none"/>
          <w:lang w:val="en-US" w:eastAsia="zh-CN" w:bidi="ar-SA"/>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tbl>
      <w:tblPr>
        <w:tblStyle w:val="36"/>
        <w:tblW w:w="90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75"/>
        <w:gridCol w:w="1184"/>
        <w:gridCol w:w="767"/>
        <w:gridCol w:w="1656"/>
        <w:gridCol w:w="773"/>
        <w:gridCol w:w="758"/>
        <w:gridCol w:w="756"/>
        <w:gridCol w:w="752"/>
        <w:gridCol w:w="1479"/>
      </w:tblGrid>
      <w:tr w14:paraId="5FD386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4" w:hRule="atLeast"/>
        </w:trPr>
        <w:tc>
          <w:tcPr>
            <w:tcW w:w="9000" w:type="dxa"/>
            <w:gridSpan w:val="9"/>
            <w:tcBorders>
              <w:top w:val="nil"/>
              <w:left w:val="nil"/>
              <w:bottom w:val="nil"/>
              <w:right w:val="nil"/>
            </w:tcBorders>
            <w:shd w:val="clear" w:color="auto" w:fill="auto"/>
            <w:noWrap/>
            <w:vAlign w:val="center"/>
          </w:tcPr>
          <w:p w14:paraId="255D410D">
            <w:pPr>
              <w:keepNext w:val="0"/>
              <w:keepLines w:val="0"/>
              <w:widowControl/>
              <w:suppressLineNumbers w:val="0"/>
              <w:jc w:val="left"/>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 xml:space="preserve">附件3        </w:t>
            </w:r>
          </w:p>
          <w:p w14:paraId="00F86042">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草堂街道环卫保洁绿化养护公厕管理服务质量考核表</w:t>
            </w:r>
          </w:p>
        </w:tc>
      </w:tr>
      <w:tr w14:paraId="4E74FE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5" w:hRule="atLeast"/>
        </w:trPr>
        <w:tc>
          <w:tcPr>
            <w:tcW w:w="9000" w:type="dxa"/>
            <w:gridSpan w:val="9"/>
            <w:tcBorders>
              <w:top w:val="nil"/>
              <w:left w:val="nil"/>
              <w:bottom w:val="nil"/>
              <w:right w:val="nil"/>
            </w:tcBorders>
            <w:shd w:val="clear" w:color="auto" w:fill="auto"/>
            <w:vAlign w:val="center"/>
          </w:tcPr>
          <w:p w14:paraId="715B059F">
            <w:pPr>
              <w:keepNext w:val="0"/>
              <w:keepLines w:val="0"/>
              <w:widowControl/>
              <w:suppressLineNumbers w:val="0"/>
              <w:jc w:val="left"/>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考核对象：                     得分：                   考核时段：</w:t>
            </w:r>
          </w:p>
        </w:tc>
      </w:tr>
      <w:tr w14:paraId="0CC44F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BDA45">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序号</w:t>
            </w:r>
          </w:p>
        </w:tc>
        <w:tc>
          <w:tcPr>
            <w:tcW w:w="19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869F8F">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考核项目</w:t>
            </w:r>
          </w:p>
        </w:tc>
        <w:tc>
          <w:tcPr>
            <w:tcW w:w="1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6026F">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考核内容</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03B4F">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考核形式</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A98D2">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标准分值</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94046">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得分分值</w:t>
            </w:r>
          </w:p>
        </w:tc>
        <w:tc>
          <w:tcPr>
            <w:tcW w:w="7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45897">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扣分分值</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3D029">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扣分内容</w:t>
            </w:r>
          </w:p>
        </w:tc>
      </w:tr>
      <w:tr w14:paraId="63623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24"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1A37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11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0AF8C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管理机制建设（10分）</w:t>
            </w:r>
          </w:p>
        </w:tc>
        <w:tc>
          <w:tcPr>
            <w:tcW w:w="7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DE12A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管理制度</w:t>
            </w:r>
          </w:p>
        </w:tc>
        <w:tc>
          <w:tcPr>
            <w:tcW w:w="1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85E9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按照相应标准、道路实际情况合理配备保洁人员；保洁人员须着统一工服，按规定作业</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F1FD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现场查看</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C720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AC9D5">
            <w:pPr>
              <w:jc w:val="center"/>
              <w:rPr>
                <w:rFonts w:hint="eastAsia" w:ascii="宋体" w:hAnsi="宋体" w:eastAsia="宋体" w:cs="宋体"/>
                <w:b/>
                <w:bCs/>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87A49">
            <w:pPr>
              <w:jc w:val="center"/>
              <w:rPr>
                <w:rFonts w:hint="eastAsia" w:ascii="宋体" w:hAnsi="宋体" w:eastAsia="宋体" w:cs="宋体"/>
                <w:b/>
                <w:bCs/>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1B8DA">
            <w:pPr>
              <w:jc w:val="center"/>
              <w:rPr>
                <w:rFonts w:hint="eastAsia" w:ascii="宋体" w:hAnsi="宋体" w:eastAsia="宋体" w:cs="宋体"/>
                <w:b/>
                <w:bCs/>
                <w:i w:val="0"/>
                <w:iCs w:val="0"/>
                <w:color w:val="000000"/>
                <w:sz w:val="24"/>
                <w:szCs w:val="24"/>
                <w:highlight w:val="none"/>
                <w:u w:val="none"/>
              </w:rPr>
            </w:pPr>
          </w:p>
        </w:tc>
      </w:tr>
      <w:tr w14:paraId="42A978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1EDF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11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1CA913">
            <w:pPr>
              <w:jc w:val="center"/>
              <w:rPr>
                <w:rFonts w:hint="eastAsia" w:ascii="宋体" w:hAnsi="宋体" w:eastAsia="宋体" w:cs="宋体"/>
                <w:i w:val="0"/>
                <w:iCs w:val="0"/>
                <w:color w:val="000000"/>
                <w:sz w:val="24"/>
                <w:szCs w:val="24"/>
                <w:highlight w:val="none"/>
                <w:u w:val="none"/>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CC031B">
            <w:pPr>
              <w:jc w:val="center"/>
              <w:rPr>
                <w:rFonts w:hint="eastAsia" w:ascii="宋体" w:hAnsi="宋体" w:eastAsia="宋体" w:cs="宋体"/>
                <w:i w:val="0"/>
                <w:iCs w:val="0"/>
                <w:color w:val="000000"/>
                <w:sz w:val="24"/>
                <w:szCs w:val="24"/>
                <w:highlight w:val="none"/>
                <w:u w:val="none"/>
              </w:rPr>
            </w:pPr>
          </w:p>
        </w:tc>
        <w:tc>
          <w:tcPr>
            <w:tcW w:w="1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87B1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公司管理制度是否健全</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1133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现场查看</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0509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5EA56">
            <w:pPr>
              <w:jc w:val="center"/>
              <w:rPr>
                <w:rFonts w:hint="eastAsia" w:ascii="宋体" w:hAnsi="宋体" w:eastAsia="宋体" w:cs="宋体"/>
                <w:b/>
                <w:bCs/>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47FF1">
            <w:pPr>
              <w:jc w:val="center"/>
              <w:rPr>
                <w:rFonts w:hint="eastAsia" w:ascii="宋体" w:hAnsi="宋体" w:eastAsia="宋体" w:cs="宋体"/>
                <w:b/>
                <w:bCs/>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81D9F">
            <w:pPr>
              <w:jc w:val="center"/>
              <w:rPr>
                <w:rFonts w:hint="eastAsia" w:ascii="宋体" w:hAnsi="宋体" w:eastAsia="宋体" w:cs="宋体"/>
                <w:b/>
                <w:bCs/>
                <w:i w:val="0"/>
                <w:iCs w:val="0"/>
                <w:color w:val="000000"/>
                <w:sz w:val="24"/>
                <w:szCs w:val="24"/>
                <w:highlight w:val="none"/>
                <w:u w:val="none"/>
              </w:rPr>
            </w:pPr>
          </w:p>
        </w:tc>
      </w:tr>
      <w:tr w14:paraId="6D7C87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EC7D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11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97A970">
            <w:pPr>
              <w:jc w:val="center"/>
              <w:rPr>
                <w:rFonts w:hint="eastAsia" w:ascii="宋体" w:hAnsi="宋体" w:eastAsia="宋体" w:cs="宋体"/>
                <w:i w:val="0"/>
                <w:iCs w:val="0"/>
                <w:color w:val="000000"/>
                <w:sz w:val="24"/>
                <w:szCs w:val="24"/>
                <w:highlight w:val="none"/>
                <w:u w:val="none"/>
              </w:rPr>
            </w:pPr>
          </w:p>
        </w:tc>
        <w:tc>
          <w:tcPr>
            <w:tcW w:w="7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35E34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档案资料</w:t>
            </w:r>
          </w:p>
        </w:tc>
        <w:tc>
          <w:tcPr>
            <w:tcW w:w="1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7DFC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道路清扫保洁、公厕管理、垃圾分类及清运、绿化养护、安全生产、和车辆管理等委托作业事项的档案资料是否齐全</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BB52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现场查看</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5D2E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9DE5F">
            <w:pPr>
              <w:jc w:val="center"/>
              <w:rPr>
                <w:rFonts w:hint="eastAsia" w:ascii="宋体" w:hAnsi="宋体" w:eastAsia="宋体" w:cs="宋体"/>
                <w:b/>
                <w:bCs/>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4C90D">
            <w:pPr>
              <w:jc w:val="center"/>
              <w:rPr>
                <w:rFonts w:hint="eastAsia" w:ascii="宋体" w:hAnsi="宋体" w:eastAsia="宋体" w:cs="宋体"/>
                <w:b/>
                <w:bCs/>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82417">
            <w:pPr>
              <w:jc w:val="center"/>
              <w:rPr>
                <w:rFonts w:hint="eastAsia" w:ascii="宋体" w:hAnsi="宋体" w:eastAsia="宋体" w:cs="宋体"/>
                <w:b/>
                <w:bCs/>
                <w:i w:val="0"/>
                <w:iCs w:val="0"/>
                <w:color w:val="000000"/>
                <w:sz w:val="24"/>
                <w:szCs w:val="24"/>
                <w:highlight w:val="none"/>
                <w:u w:val="none"/>
              </w:rPr>
            </w:pPr>
          </w:p>
        </w:tc>
      </w:tr>
      <w:tr w14:paraId="384FD7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7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7857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11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4E7068">
            <w:pPr>
              <w:jc w:val="center"/>
              <w:rPr>
                <w:rFonts w:hint="eastAsia" w:ascii="宋体" w:hAnsi="宋体" w:eastAsia="宋体" w:cs="宋体"/>
                <w:i w:val="0"/>
                <w:iCs w:val="0"/>
                <w:color w:val="000000"/>
                <w:sz w:val="24"/>
                <w:szCs w:val="24"/>
                <w:highlight w:val="none"/>
                <w:u w:val="none"/>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C37D16">
            <w:pPr>
              <w:jc w:val="center"/>
              <w:rPr>
                <w:rFonts w:hint="eastAsia" w:ascii="宋体" w:hAnsi="宋体" w:eastAsia="宋体" w:cs="宋体"/>
                <w:i w:val="0"/>
                <w:iCs w:val="0"/>
                <w:color w:val="000000"/>
                <w:sz w:val="24"/>
                <w:szCs w:val="24"/>
                <w:highlight w:val="none"/>
                <w:u w:val="none"/>
              </w:rPr>
            </w:pPr>
          </w:p>
        </w:tc>
        <w:tc>
          <w:tcPr>
            <w:tcW w:w="1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1D77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环卫作业人员考勤有无台账记录</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196B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现场查看</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B72A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CDA73">
            <w:pPr>
              <w:jc w:val="center"/>
              <w:rPr>
                <w:rFonts w:hint="eastAsia" w:ascii="宋体" w:hAnsi="宋体" w:eastAsia="宋体" w:cs="宋体"/>
                <w:b/>
                <w:bCs/>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CE884">
            <w:pPr>
              <w:jc w:val="center"/>
              <w:rPr>
                <w:rFonts w:hint="eastAsia" w:ascii="宋体" w:hAnsi="宋体" w:eastAsia="宋体" w:cs="宋体"/>
                <w:b/>
                <w:bCs/>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FE368">
            <w:pPr>
              <w:jc w:val="center"/>
              <w:rPr>
                <w:rFonts w:hint="eastAsia" w:ascii="宋体" w:hAnsi="宋体" w:eastAsia="宋体" w:cs="宋体"/>
                <w:b/>
                <w:bCs/>
                <w:i w:val="0"/>
                <w:iCs w:val="0"/>
                <w:color w:val="000000"/>
                <w:sz w:val="24"/>
                <w:szCs w:val="24"/>
                <w:highlight w:val="none"/>
                <w:u w:val="none"/>
              </w:rPr>
            </w:pPr>
          </w:p>
        </w:tc>
      </w:tr>
      <w:tr w14:paraId="7378BC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7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F129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w:t>
            </w:r>
          </w:p>
        </w:tc>
        <w:tc>
          <w:tcPr>
            <w:tcW w:w="11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8D2544">
            <w:pPr>
              <w:jc w:val="center"/>
              <w:rPr>
                <w:rFonts w:hint="eastAsia" w:ascii="宋体" w:hAnsi="宋体" w:eastAsia="宋体" w:cs="宋体"/>
                <w:i w:val="0"/>
                <w:iCs w:val="0"/>
                <w:color w:val="000000"/>
                <w:sz w:val="24"/>
                <w:szCs w:val="24"/>
                <w:highlight w:val="none"/>
                <w:u w:val="none"/>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E519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日常培训</w:t>
            </w:r>
          </w:p>
        </w:tc>
        <w:tc>
          <w:tcPr>
            <w:tcW w:w="1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81D3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日常安全教育及业培训是否到位</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B602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现场查看</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452C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94783">
            <w:pPr>
              <w:jc w:val="center"/>
              <w:rPr>
                <w:rFonts w:hint="eastAsia" w:ascii="宋体" w:hAnsi="宋体" w:eastAsia="宋体" w:cs="宋体"/>
                <w:b/>
                <w:bCs/>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8716E">
            <w:pPr>
              <w:jc w:val="center"/>
              <w:rPr>
                <w:rFonts w:hint="eastAsia" w:ascii="宋体" w:hAnsi="宋体" w:eastAsia="宋体" w:cs="宋体"/>
                <w:b/>
                <w:bCs/>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B37CB">
            <w:pPr>
              <w:jc w:val="center"/>
              <w:rPr>
                <w:rFonts w:hint="eastAsia" w:ascii="宋体" w:hAnsi="宋体" w:eastAsia="宋体" w:cs="宋体"/>
                <w:b/>
                <w:bCs/>
                <w:i w:val="0"/>
                <w:iCs w:val="0"/>
                <w:color w:val="000000"/>
                <w:sz w:val="24"/>
                <w:szCs w:val="24"/>
                <w:highlight w:val="none"/>
                <w:u w:val="none"/>
              </w:rPr>
            </w:pPr>
          </w:p>
        </w:tc>
      </w:tr>
      <w:tr w14:paraId="05330E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48AB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w:t>
            </w:r>
          </w:p>
        </w:tc>
        <w:tc>
          <w:tcPr>
            <w:tcW w:w="1193" w:type="dxa"/>
            <w:vMerge w:val="restart"/>
            <w:tcBorders>
              <w:top w:val="nil"/>
              <w:left w:val="single" w:color="000000" w:sz="4" w:space="0"/>
              <w:bottom w:val="single" w:color="000000" w:sz="4" w:space="0"/>
              <w:right w:val="single" w:color="000000" w:sz="4" w:space="0"/>
            </w:tcBorders>
            <w:shd w:val="clear" w:color="auto" w:fill="auto"/>
            <w:vAlign w:val="center"/>
          </w:tcPr>
          <w:p w14:paraId="114B9C6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环卫系统处置情况（10分）</w:t>
            </w:r>
          </w:p>
        </w:tc>
        <w:tc>
          <w:tcPr>
            <w:tcW w:w="7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60BC3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网络平台</w:t>
            </w:r>
          </w:p>
        </w:tc>
        <w:tc>
          <w:tcPr>
            <w:tcW w:w="1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6275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智慧城管数字化平台案件管理处置是否及时</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3578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现场查看</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3953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4C013">
            <w:pPr>
              <w:jc w:val="center"/>
              <w:rPr>
                <w:rFonts w:hint="eastAsia" w:ascii="宋体" w:hAnsi="宋体" w:eastAsia="宋体" w:cs="宋体"/>
                <w:b/>
                <w:bCs/>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E660D">
            <w:pPr>
              <w:jc w:val="center"/>
              <w:rPr>
                <w:rFonts w:hint="eastAsia" w:ascii="宋体" w:hAnsi="宋体" w:eastAsia="宋体" w:cs="宋体"/>
                <w:b/>
                <w:bCs/>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80CB3">
            <w:pPr>
              <w:jc w:val="center"/>
              <w:rPr>
                <w:rFonts w:hint="eastAsia" w:ascii="宋体" w:hAnsi="宋体" w:eastAsia="宋体" w:cs="宋体"/>
                <w:b/>
                <w:bCs/>
                <w:i w:val="0"/>
                <w:iCs w:val="0"/>
                <w:color w:val="000000"/>
                <w:sz w:val="24"/>
                <w:szCs w:val="24"/>
                <w:highlight w:val="none"/>
                <w:u w:val="none"/>
              </w:rPr>
            </w:pPr>
          </w:p>
        </w:tc>
      </w:tr>
      <w:tr w14:paraId="7803FF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1453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w:t>
            </w:r>
          </w:p>
        </w:tc>
        <w:tc>
          <w:tcPr>
            <w:tcW w:w="1193" w:type="dxa"/>
            <w:vMerge w:val="continue"/>
            <w:tcBorders>
              <w:top w:val="nil"/>
              <w:left w:val="single" w:color="000000" w:sz="4" w:space="0"/>
              <w:bottom w:val="single" w:color="000000" w:sz="4" w:space="0"/>
              <w:right w:val="single" w:color="000000" w:sz="4" w:space="0"/>
            </w:tcBorders>
            <w:shd w:val="clear" w:color="auto" w:fill="auto"/>
            <w:vAlign w:val="center"/>
          </w:tcPr>
          <w:p w14:paraId="7BB7B421">
            <w:pPr>
              <w:jc w:val="center"/>
              <w:rPr>
                <w:rFonts w:hint="eastAsia" w:ascii="宋体" w:hAnsi="宋体" w:eastAsia="宋体" w:cs="宋体"/>
                <w:i w:val="0"/>
                <w:iCs w:val="0"/>
                <w:color w:val="000000"/>
                <w:sz w:val="24"/>
                <w:szCs w:val="24"/>
                <w:highlight w:val="none"/>
                <w:u w:val="none"/>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837D01">
            <w:pPr>
              <w:jc w:val="center"/>
              <w:rPr>
                <w:rFonts w:hint="eastAsia" w:ascii="宋体" w:hAnsi="宋体" w:eastAsia="宋体" w:cs="宋体"/>
                <w:i w:val="0"/>
                <w:iCs w:val="0"/>
                <w:color w:val="000000"/>
                <w:sz w:val="24"/>
                <w:szCs w:val="24"/>
                <w:highlight w:val="none"/>
                <w:u w:val="none"/>
              </w:rPr>
            </w:pPr>
          </w:p>
        </w:tc>
        <w:tc>
          <w:tcPr>
            <w:tcW w:w="1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AAEB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道路走航系统接警是否及时</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F777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现场查看</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EC08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28F89">
            <w:pPr>
              <w:jc w:val="center"/>
              <w:rPr>
                <w:rFonts w:hint="eastAsia" w:ascii="宋体" w:hAnsi="宋体" w:eastAsia="宋体" w:cs="宋体"/>
                <w:b/>
                <w:bCs/>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873CD">
            <w:pPr>
              <w:jc w:val="center"/>
              <w:rPr>
                <w:rFonts w:hint="eastAsia" w:ascii="宋体" w:hAnsi="宋体" w:eastAsia="宋体" w:cs="宋体"/>
                <w:b/>
                <w:bCs/>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E2B51">
            <w:pPr>
              <w:jc w:val="center"/>
              <w:rPr>
                <w:rFonts w:hint="eastAsia" w:ascii="宋体" w:hAnsi="宋体" w:eastAsia="宋体" w:cs="宋体"/>
                <w:b/>
                <w:bCs/>
                <w:i w:val="0"/>
                <w:iCs w:val="0"/>
                <w:color w:val="000000"/>
                <w:sz w:val="24"/>
                <w:szCs w:val="24"/>
                <w:highlight w:val="none"/>
                <w:u w:val="none"/>
              </w:rPr>
            </w:pPr>
          </w:p>
        </w:tc>
      </w:tr>
      <w:tr w14:paraId="481955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39F1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1193" w:type="dxa"/>
            <w:vMerge w:val="continue"/>
            <w:tcBorders>
              <w:top w:val="nil"/>
              <w:left w:val="single" w:color="000000" w:sz="4" w:space="0"/>
              <w:bottom w:val="single" w:color="000000" w:sz="4" w:space="0"/>
              <w:right w:val="single" w:color="000000" w:sz="4" w:space="0"/>
            </w:tcBorders>
            <w:shd w:val="clear" w:color="auto" w:fill="auto"/>
            <w:vAlign w:val="center"/>
          </w:tcPr>
          <w:p w14:paraId="0F7321D0">
            <w:pPr>
              <w:jc w:val="center"/>
              <w:rPr>
                <w:rFonts w:hint="eastAsia" w:ascii="宋体" w:hAnsi="宋体" w:eastAsia="宋体" w:cs="宋体"/>
                <w:i w:val="0"/>
                <w:iCs w:val="0"/>
                <w:color w:val="000000"/>
                <w:sz w:val="24"/>
                <w:szCs w:val="24"/>
                <w:highlight w:val="none"/>
                <w:u w:val="none"/>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1EDD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督导督办</w:t>
            </w:r>
          </w:p>
        </w:tc>
        <w:tc>
          <w:tcPr>
            <w:tcW w:w="1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50EA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督办案件整改处置是否到位</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CBD4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现场查看</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CCF0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99308">
            <w:pPr>
              <w:jc w:val="center"/>
              <w:rPr>
                <w:rFonts w:hint="eastAsia" w:ascii="宋体" w:hAnsi="宋体" w:eastAsia="宋体" w:cs="宋体"/>
                <w:b/>
                <w:bCs/>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416E8">
            <w:pPr>
              <w:jc w:val="center"/>
              <w:rPr>
                <w:rFonts w:hint="eastAsia" w:ascii="宋体" w:hAnsi="宋体" w:eastAsia="宋体" w:cs="宋体"/>
                <w:b/>
                <w:bCs/>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D1348">
            <w:pPr>
              <w:jc w:val="center"/>
              <w:rPr>
                <w:rFonts w:hint="eastAsia" w:ascii="宋体" w:hAnsi="宋体" w:eastAsia="宋体" w:cs="宋体"/>
                <w:b/>
                <w:bCs/>
                <w:i w:val="0"/>
                <w:iCs w:val="0"/>
                <w:color w:val="000000"/>
                <w:sz w:val="24"/>
                <w:szCs w:val="24"/>
                <w:highlight w:val="none"/>
                <w:u w:val="none"/>
              </w:rPr>
            </w:pPr>
          </w:p>
        </w:tc>
      </w:tr>
      <w:tr w14:paraId="3E2BFE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320A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w:t>
            </w:r>
          </w:p>
        </w:tc>
        <w:tc>
          <w:tcPr>
            <w:tcW w:w="11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4DB52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清扫保洁（40分）</w:t>
            </w:r>
          </w:p>
        </w:tc>
        <w:tc>
          <w:tcPr>
            <w:tcW w:w="7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988E8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道路清扫</w:t>
            </w:r>
          </w:p>
        </w:tc>
        <w:tc>
          <w:tcPr>
            <w:tcW w:w="1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EBEA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是否开展大擦洗活动</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C510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现场查看</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E458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F8DDC">
            <w:pPr>
              <w:jc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2FB2C">
            <w:pP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5A0C7">
            <w:pPr>
              <w:rPr>
                <w:rFonts w:hint="eastAsia" w:ascii="宋体" w:hAnsi="宋体" w:eastAsia="宋体" w:cs="宋体"/>
                <w:i w:val="0"/>
                <w:iCs w:val="0"/>
                <w:color w:val="000000"/>
                <w:sz w:val="24"/>
                <w:szCs w:val="24"/>
                <w:highlight w:val="none"/>
                <w:u w:val="none"/>
              </w:rPr>
            </w:pPr>
          </w:p>
        </w:tc>
      </w:tr>
      <w:tr w14:paraId="02DBB4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3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2200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w:t>
            </w:r>
          </w:p>
        </w:tc>
        <w:tc>
          <w:tcPr>
            <w:tcW w:w="11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B10F9C">
            <w:pPr>
              <w:jc w:val="center"/>
              <w:rPr>
                <w:rFonts w:hint="eastAsia" w:ascii="宋体" w:hAnsi="宋体" w:eastAsia="宋体" w:cs="宋体"/>
                <w:i w:val="0"/>
                <w:iCs w:val="0"/>
                <w:color w:val="000000"/>
                <w:sz w:val="24"/>
                <w:szCs w:val="24"/>
                <w:highlight w:val="none"/>
                <w:u w:val="none"/>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28611E">
            <w:pPr>
              <w:jc w:val="center"/>
              <w:rPr>
                <w:rFonts w:hint="eastAsia" w:ascii="宋体" w:hAnsi="宋体" w:eastAsia="宋体" w:cs="宋体"/>
                <w:i w:val="0"/>
                <w:iCs w:val="0"/>
                <w:color w:val="000000"/>
                <w:sz w:val="24"/>
                <w:szCs w:val="24"/>
                <w:highlight w:val="none"/>
                <w:u w:val="none"/>
              </w:rPr>
            </w:pPr>
          </w:p>
        </w:tc>
        <w:tc>
          <w:tcPr>
            <w:tcW w:w="1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FFAF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墙体（建筑）、树木、道沿、城市家具等立面干净整洁，无广告涂鸦</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FB35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现场查看</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03D2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7DFA9">
            <w:pPr>
              <w:jc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5947C">
            <w:pP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E3DE3">
            <w:pPr>
              <w:rPr>
                <w:rFonts w:hint="eastAsia" w:ascii="宋体" w:hAnsi="宋体" w:eastAsia="宋体" w:cs="宋体"/>
                <w:i w:val="0"/>
                <w:iCs w:val="0"/>
                <w:color w:val="000000"/>
                <w:sz w:val="24"/>
                <w:szCs w:val="24"/>
                <w:highlight w:val="none"/>
                <w:u w:val="none"/>
              </w:rPr>
            </w:pPr>
          </w:p>
        </w:tc>
      </w:tr>
      <w:tr w14:paraId="64D801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36"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EE5C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11</w:t>
            </w:r>
          </w:p>
        </w:tc>
        <w:tc>
          <w:tcPr>
            <w:tcW w:w="11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C6276C">
            <w:pPr>
              <w:jc w:val="center"/>
              <w:rPr>
                <w:rFonts w:hint="eastAsia" w:ascii="宋体" w:hAnsi="宋体" w:eastAsia="宋体" w:cs="宋体"/>
                <w:i w:val="0"/>
                <w:iCs w:val="0"/>
                <w:color w:val="000000"/>
                <w:sz w:val="24"/>
                <w:szCs w:val="24"/>
                <w:highlight w:val="none"/>
                <w:u w:val="none"/>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F06681">
            <w:pPr>
              <w:jc w:val="center"/>
              <w:rPr>
                <w:rFonts w:hint="eastAsia" w:ascii="宋体" w:hAnsi="宋体" w:eastAsia="宋体" w:cs="宋体"/>
                <w:i w:val="0"/>
                <w:iCs w:val="0"/>
                <w:color w:val="000000"/>
                <w:sz w:val="24"/>
                <w:szCs w:val="24"/>
                <w:highlight w:val="none"/>
                <w:u w:val="none"/>
              </w:rPr>
            </w:pPr>
          </w:p>
        </w:tc>
        <w:tc>
          <w:tcPr>
            <w:tcW w:w="1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7EC8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下水井盖、树坑、隔离墩（栏）清扫彻底，无果皮纸屑、包装袋等废弃物</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6831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现场查看</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87D6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00EA6">
            <w:pPr>
              <w:jc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1ADB6">
            <w:pPr>
              <w:keepNext w:val="0"/>
              <w:keepLines w:val="0"/>
              <w:widowControl/>
              <w:suppressLineNumbers w:val="0"/>
              <w:jc w:val="left"/>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FE296">
            <w:pPr>
              <w:rPr>
                <w:rFonts w:hint="eastAsia" w:ascii="宋体" w:hAnsi="宋体" w:eastAsia="宋体" w:cs="宋体"/>
                <w:i w:val="0"/>
                <w:iCs w:val="0"/>
                <w:color w:val="000000"/>
                <w:sz w:val="24"/>
                <w:szCs w:val="24"/>
                <w:highlight w:val="none"/>
                <w:u w:val="none"/>
              </w:rPr>
            </w:pPr>
          </w:p>
        </w:tc>
      </w:tr>
      <w:tr w14:paraId="688AB0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24"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91DE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w:t>
            </w:r>
          </w:p>
        </w:tc>
        <w:tc>
          <w:tcPr>
            <w:tcW w:w="11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7D7121">
            <w:pPr>
              <w:jc w:val="center"/>
              <w:rPr>
                <w:rFonts w:hint="eastAsia" w:ascii="宋体" w:hAnsi="宋体" w:eastAsia="宋体" w:cs="宋体"/>
                <w:i w:val="0"/>
                <w:iCs w:val="0"/>
                <w:color w:val="000000"/>
                <w:sz w:val="24"/>
                <w:szCs w:val="24"/>
                <w:highlight w:val="none"/>
                <w:u w:val="none"/>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680489">
            <w:pPr>
              <w:jc w:val="center"/>
              <w:rPr>
                <w:rFonts w:hint="eastAsia" w:ascii="宋体" w:hAnsi="宋体" w:eastAsia="宋体" w:cs="宋体"/>
                <w:i w:val="0"/>
                <w:iCs w:val="0"/>
                <w:color w:val="000000"/>
                <w:sz w:val="24"/>
                <w:szCs w:val="24"/>
                <w:highlight w:val="none"/>
                <w:u w:val="none"/>
              </w:rPr>
            </w:pPr>
          </w:p>
        </w:tc>
        <w:tc>
          <w:tcPr>
            <w:tcW w:w="1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4769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合同范围内主干道路可视范围无垃圾堆积现象、无垃圾乱扔乱倒、乱堆乱摆及焚烧现象</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62F2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现场查看</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AF66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C933A">
            <w:pPr>
              <w:jc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267D7">
            <w:pP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D27F8">
            <w:pPr>
              <w:rPr>
                <w:rFonts w:hint="eastAsia" w:ascii="宋体" w:hAnsi="宋体" w:eastAsia="宋体" w:cs="宋体"/>
                <w:i w:val="0"/>
                <w:iCs w:val="0"/>
                <w:color w:val="000000"/>
                <w:sz w:val="24"/>
                <w:szCs w:val="24"/>
                <w:highlight w:val="none"/>
                <w:u w:val="none"/>
              </w:rPr>
            </w:pPr>
          </w:p>
        </w:tc>
      </w:tr>
      <w:tr w14:paraId="3C1E5E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24"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E78E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w:t>
            </w:r>
          </w:p>
        </w:tc>
        <w:tc>
          <w:tcPr>
            <w:tcW w:w="11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0569A5">
            <w:pPr>
              <w:jc w:val="center"/>
              <w:rPr>
                <w:rFonts w:hint="eastAsia" w:ascii="宋体" w:hAnsi="宋体" w:eastAsia="宋体" w:cs="宋体"/>
                <w:i w:val="0"/>
                <w:iCs w:val="0"/>
                <w:color w:val="000000"/>
                <w:sz w:val="24"/>
                <w:szCs w:val="24"/>
                <w:highlight w:val="none"/>
                <w:u w:val="none"/>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04DF90">
            <w:pPr>
              <w:jc w:val="center"/>
              <w:rPr>
                <w:rFonts w:hint="eastAsia" w:ascii="宋体" w:hAnsi="宋体" w:eastAsia="宋体" w:cs="宋体"/>
                <w:i w:val="0"/>
                <w:iCs w:val="0"/>
                <w:color w:val="000000"/>
                <w:sz w:val="24"/>
                <w:szCs w:val="24"/>
                <w:highlight w:val="none"/>
                <w:u w:val="none"/>
              </w:rPr>
            </w:pPr>
          </w:p>
        </w:tc>
        <w:tc>
          <w:tcPr>
            <w:tcW w:w="1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CD5A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垃圾收集点、垃圾桶、垃圾收运车辆实行封闭式管理运行，严禁收集转运中出现遗洒现象</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1836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现场查看</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5B5C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FC124">
            <w:pPr>
              <w:jc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3F14B">
            <w:pP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64291">
            <w:pPr>
              <w:rPr>
                <w:rFonts w:hint="eastAsia" w:ascii="宋体" w:hAnsi="宋体" w:eastAsia="宋体" w:cs="宋体"/>
                <w:i w:val="0"/>
                <w:iCs w:val="0"/>
                <w:color w:val="000000"/>
                <w:sz w:val="24"/>
                <w:szCs w:val="24"/>
                <w:highlight w:val="none"/>
                <w:u w:val="none"/>
              </w:rPr>
            </w:pPr>
          </w:p>
        </w:tc>
      </w:tr>
      <w:tr w14:paraId="46B4D7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24"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A2A8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14</w:t>
            </w:r>
          </w:p>
        </w:tc>
        <w:tc>
          <w:tcPr>
            <w:tcW w:w="11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E3A76B">
            <w:pPr>
              <w:jc w:val="center"/>
              <w:rPr>
                <w:rFonts w:hint="eastAsia" w:ascii="宋体" w:hAnsi="宋体" w:eastAsia="宋体" w:cs="宋体"/>
                <w:i w:val="0"/>
                <w:iCs w:val="0"/>
                <w:color w:val="000000"/>
                <w:sz w:val="24"/>
                <w:szCs w:val="24"/>
                <w:highlight w:val="none"/>
                <w:u w:val="none"/>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4065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环卫设施  管护</w:t>
            </w:r>
          </w:p>
        </w:tc>
        <w:tc>
          <w:tcPr>
            <w:tcW w:w="1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9E87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道路果皮箱、保洁工具箱、垃圾分类箱等城市家具清理及时，外表干净，不残缺歪斜</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202F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现场查看</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3410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86C1B">
            <w:pPr>
              <w:jc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3115D">
            <w:pP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C88DE">
            <w:pPr>
              <w:rPr>
                <w:rFonts w:hint="eastAsia" w:ascii="宋体" w:hAnsi="宋体" w:eastAsia="宋体" w:cs="宋体"/>
                <w:i w:val="0"/>
                <w:iCs w:val="0"/>
                <w:color w:val="000000"/>
                <w:sz w:val="24"/>
                <w:szCs w:val="24"/>
                <w:highlight w:val="none"/>
                <w:u w:val="none"/>
              </w:rPr>
            </w:pPr>
          </w:p>
        </w:tc>
      </w:tr>
      <w:tr w14:paraId="3FFF72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6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885D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w:t>
            </w:r>
          </w:p>
        </w:tc>
        <w:tc>
          <w:tcPr>
            <w:tcW w:w="11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F5401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公厕管理（20分）</w:t>
            </w:r>
          </w:p>
        </w:tc>
        <w:tc>
          <w:tcPr>
            <w:tcW w:w="7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4EFA5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公厕管理  保洁质量</w:t>
            </w:r>
          </w:p>
        </w:tc>
        <w:tc>
          <w:tcPr>
            <w:tcW w:w="1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3C72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随时保持公厕内墙面、地面、设施干净整洁，无尘土蛛网，无乱涂乱画，乱贴乱挂，无明显臭味，便池无污物、无水锈、无尿垢、无垃圾，管道保持畅通</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26B5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现场查看</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41C9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C6DAF">
            <w:pPr>
              <w:jc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F1BEB">
            <w:pP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FF10F">
            <w:pPr>
              <w:rPr>
                <w:rFonts w:hint="eastAsia" w:ascii="宋体" w:hAnsi="宋体" w:eastAsia="宋体" w:cs="宋体"/>
                <w:i w:val="0"/>
                <w:iCs w:val="0"/>
                <w:color w:val="000000"/>
                <w:sz w:val="24"/>
                <w:szCs w:val="24"/>
                <w:highlight w:val="none"/>
                <w:u w:val="none"/>
              </w:rPr>
            </w:pPr>
          </w:p>
        </w:tc>
      </w:tr>
      <w:tr w14:paraId="2EDF30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ACC0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w:t>
            </w:r>
          </w:p>
        </w:tc>
        <w:tc>
          <w:tcPr>
            <w:tcW w:w="11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4F1140">
            <w:pPr>
              <w:jc w:val="center"/>
              <w:rPr>
                <w:rFonts w:hint="eastAsia" w:ascii="宋体" w:hAnsi="宋体" w:eastAsia="宋体" w:cs="宋体"/>
                <w:i w:val="0"/>
                <w:iCs w:val="0"/>
                <w:color w:val="000000"/>
                <w:sz w:val="24"/>
                <w:szCs w:val="24"/>
                <w:highlight w:val="none"/>
                <w:u w:val="none"/>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B4CF7A">
            <w:pPr>
              <w:jc w:val="center"/>
              <w:rPr>
                <w:rFonts w:hint="eastAsia" w:ascii="宋体" w:hAnsi="宋体" w:eastAsia="宋体" w:cs="宋体"/>
                <w:i w:val="0"/>
                <w:iCs w:val="0"/>
                <w:color w:val="000000"/>
                <w:sz w:val="24"/>
                <w:szCs w:val="24"/>
                <w:highlight w:val="none"/>
                <w:u w:val="none"/>
              </w:rPr>
            </w:pPr>
          </w:p>
        </w:tc>
        <w:tc>
          <w:tcPr>
            <w:tcW w:w="1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3C2F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公厕外环境整洁，无乱堆杂物，保洁工具设置整齐，无乱搭乱建和拉绳，公厕周边10米范围内，无垃圾、粪便尿迹等污物</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5D95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现场查看</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628B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F4FBB">
            <w:pPr>
              <w:jc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A0A36">
            <w:pP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8F4CA">
            <w:pPr>
              <w:rPr>
                <w:rFonts w:hint="eastAsia" w:ascii="宋体" w:hAnsi="宋体" w:eastAsia="宋体" w:cs="宋体"/>
                <w:i w:val="0"/>
                <w:iCs w:val="0"/>
                <w:color w:val="000000"/>
                <w:sz w:val="24"/>
                <w:szCs w:val="24"/>
                <w:highlight w:val="none"/>
                <w:u w:val="none"/>
              </w:rPr>
            </w:pPr>
          </w:p>
        </w:tc>
      </w:tr>
      <w:tr w14:paraId="2C6A2A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4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A3A6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17</w:t>
            </w:r>
          </w:p>
        </w:tc>
        <w:tc>
          <w:tcPr>
            <w:tcW w:w="11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DD5BD6">
            <w:pPr>
              <w:jc w:val="center"/>
              <w:rPr>
                <w:rFonts w:hint="eastAsia" w:ascii="宋体" w:hAnsi="宋体" w:eastAsia="宋体" w:cs="宋体"/>
                <w:i w:val="0"/>
                <w:iCs w:val="0"/>
                <w:color w:val="000000"/>
                <w:sz w:val="24"/>
                <w:szCs w:val="24"/>
                <w:highlight w:val="none"/>
                <w:u w:val="none"/>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59D2A0">
            <w:pPr>
              <w:jc w:val="center"/>
              <w:rPr>
                <w:rFonts w:hint="eastAsia" w:ascii="宋体" w:hAnsi="宋体" w:eastAsia="宋体" w:cs="宋体"/>
                <w:i w:val="0"/>
                <w:iCs w:val="0"/>
                <w:color w:val="000000"/>
                <w:sz w:val="24"/>
                <w:szCs w:val="24"/>
                <w:highlight w:val="none"/>
                <w:u w:val="none"/>
              </w:rPr>
            </w:pPr>
          </w:p>
        </w:tc>
        <w:tc>
          <w:tcPr>
            <w:tcW w:w="1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D3F2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蝇蚊滋生季节应定时喷洒蚊蝇药物或安装防蚊蝇设备，有效控制蚊蝇</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6661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现场查看</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7603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4FE27">
            <w:pPr>
              <w:jc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C3A13">
            <w:pP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0D655">
            <w:pPr>
              <w:rPr>
                <w:rFonts w:hint="eastAsia" w:ascii="宋体" w:hAnsi="宋体" w:eastAsia="宋体" w:cs="宋体"/>
                <w:i w:val="0"/>
                <w:iCs w:val="0"/>
                <w:color w:val="000000"/>
                <w:sz w:val="24"/>
                <w:szCs w:val="24"/>
                <w:highlight w:val="none"/>
                <w:u w:val="none"/>
              </w:rPr>
            </w:pPr>
          </w:p>
        </w:tc>
      </w:tr>
      <w:tr w14:paraId="1DE2F3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F4B9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18</w:t>
            </w:r>
          </w:p>
        </w:tc>
        <w:tc>
          <w:tcPr>
            <w:tcW w:w="11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AF4EDF">
            <w:pPr>
              <w:jc w:val="center"/>
              <w:rPr>
                <w:rFonts w:hint="eastAsia" w:ascii="宋体" w:hAnsi="宋体" w:eastAsia="宋体" w:cs="宋体"/>
                <w:i w:val="0"/>
                <w:iCs w:val="0"/>
                <w:color w:val="000000"/>
                <w:sz w:val="24"/>
                <w:szCs w:val="24"/>
                <w:highlight w:val="none"/>
                <w:u w:val="none"/>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F8D00D">
            <w:pPr>
              <w:jc w:val="center"/>
              <w:rPr>
                <w:rFonts w:hint="eastAsia" w:ascii="宋体" w:hAnsi="宋体" w:eastAsia="宋体" w:cs="宋体"/>
                <w:i w:val="0"/>
                <w:iCs w:val="0"/>
                <w:color w:val="000000"/>
                <w:sz w:val="24"/>
                <w:szCs w:val="24"/>
                <w:highlight w:val="none"/>
                <w:u w:val="none"/>
              </w:rPr>
            </w:pPr>
          </w:p>
        </w:tc>
        <w:tc>
          <w:tcPr>
            <w:tcW w:w="1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E832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公厕管理工作台账是否完备</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6E2C0">
            <w:pPr>
              <w:jc w:val="center"/>
              <w:rPr>
                <w:rFonts w:hint="eastAsia" w:ascii="宋体" w:hAnsi="宋体" w:eastAsia="宋体" w:cs="宋体"/>
                <w:i w:val="0"/>
                <w:iCs w:val="0"/>
                <w:color w:val="000000"/>
                <w:sz w:val="24"/>
                <w:szCs w:val="24"/>
                <w:highlight w:val="none"/>
                <w:u w:val="none"/>
              </w:rPr>
            </w:pP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0DC8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71FCB">
            <w:pPr>
              <w:jc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2734E">
            <w:pP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ADB89">
            <w:pPr>
              <w:rPr>
                <w:rFonts w:hint="eastAsia" w:ascii="宋体" w:hAnsi="宋体" w:eastAsia="宋体" w:cs="宋体"/>
                <w:i w:val="0"/>
                <w:iCs w:val="0"/>
                <w:color w:val="000000"/>
                <w:sz w:val="24"/>
                <w:szCs w:val="24"/>
                <w:highlight w:val="none"/>
                <w:u w:val="none"/>
              </w:rPr>
            </w:pPr>
          </w:p>
        </w:tc>
      </w:tr>
      <w:tr w14:paraId="28138C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30C5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19</w:t>
            </w:r>
          </w:p>
        </w:tc>
        <w:tc>
          <w:tcPr>
            <w:tcW w:w="11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4E2B34">
            <w:pPr>
              <w:jc w:val="center"/>
              <w:rPr>
                <w:rFonts w:hint="eastAsia" w:ascii="宋体" w:hAnsi="宋体" w:eastAsia="宋体" w:cs="宋体"/>
                <w:i w:val="0"/>
                <w:iCs w:val="0"/>
                <w:color w:val="000000"/>
                <w:sz w:val="24"/>
                <w:szCs w:val="24"/>
                <w:highlight w:val="none"/>
                <w:u w:val="none"/>
              </w:rPr>
            </w:pPr>
          </w:p>
        </w:tc>
        <w:tc>
          <w:tcPr>
            <w:tcW w:w="7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21C5D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公厕管理  设施维护</w:t>
            </w:r>
          </w:p>
        </w:tc>
        <w:tc>
          <w:tcPr>
            <w:tcW w:w="1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861A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厕所内所有设施完好无损（门、窗、洁具、面盆、灯、排风扇、烘手器、防蚊蝇、防风帘等设施器具）</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F623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现场查看</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9E9A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BA41B">
            <w:pPr>
              <w:jc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8C965">
            <w:pP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7F8AF">
            <w:pPr>
              <w:rPr>
                <w:rFonts w:hint="eastAsia" w:ascii="宋体" w:hAnsi="宋体" w:eastAsia="宋体" w:cs="宋体"/>
                <w:i w:val="0"/>
                <w:iCs w:val="0"/>
                <w:color w:val="000000"/>
                <w:sz w:val="24"/>
                <w:szCs w:val="24"/>
                <w:highlight w:val="none"/>
                <w:u w:val="none"/>
              </w:rPr>
            </w:pPr>
          </w:p>
        </w:tc>
      </w:tr>
      <w:tr w14:paraId="1F288D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3B0C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w:t>
            </w:r>
          </w:p>
        </w:tc>
        <w:tc>
          <w:tcPr>
            <w:tcW w:w="11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8D7A26">
            <w:pPr>
              <w:jc w:val="center"/>
              <w:rPr>
                <w:rFonts w:hint="eastAsia" w:ascii="宋体" w:hAnsi="宋体" w:eastAsia="宋体" w:cs="宋体"/>
                <w:i w:val="0"/>
                <w:iCs w:val="0"/>
                <w:color w:val="000000"/>
                <w:sz w:val="24"/>
                <w:szCs w:val="24"/>
                <w:highlight w:val="none"/>
                <w:u w:val="none"/>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375B71">
            <w:pPr>
              <w:jc w:val="center"/>
              <w:rPr>
                <w:rFonts w:hint="eastAsia" w:ascii="宋体" w:hAnsi="宋体" w:eastAsia="宋体" w:cs="宋体"/>
                <w:i w:val="0"/>
                <w:iCs w:val="0"/>
                <w:color w:val="000000"/>
                <w:sz w:val="24"/>
                <w:szCs w:val="24"/>
                <w:highlight w:val="none"/>
                <w:u w:val="none"/>
              </w:rPr>
            </w:pPr>
          </w:p>
        </w:tc>
        <w:tc>
          <w:tcPr>
            <w:tcW w:w="1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99BC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地面、便池、便坑道槽、瓷片、隔档完好</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0B31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现场查看</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7F7E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58ACE">
            <w:pPr>
              <w:jc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69B61">
            <w:pP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B5EAE">
            <w:pPr>
              <w:rPr>
                <w:rFonts w:hint="eastAsia" w:ascii="宋体" w:hAnsi="宋体" w:eastAsia="宋体" w:cs="宋体"/>
                <w:i w:val="0"/>
                <w:iCs w:val="0"/>
                <w:color w:val="000000"/>
                <w:sz w:val="24"/>
                <w:szCs w:val="24"/>
                <w:highlight w:val="none"/>
                <w:u w:val="none"/>
              </w:rPr>
            </w:pPr>
          </w:p>
        </w:tc>
      </w:tr>
      <w:tr w14:paraId="1E0D6B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4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DD7D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21</w:t>
            </w:r>
          </w:p>
        </w:tc>
        <w:tc>
          <w:tcPr>
            <w:tcW w:w="11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F6994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生活垃圾治理  </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（20分）</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F469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生活垃圾  无焚烧</w:t>
            </w:r>
          </w:p>
        </w:tc>
        <w:tc>
          <w:tcPr>
            <w:tcW w:w="1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53BB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管辖区域内严禁出现生活垃圾焚烧现象，保证生活垃圾无害化处理</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13C6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现场查看</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233D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D70FB">
            <w:pPr>
              <w:jc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731B8">
            <w:pP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7A1F4">
            <w:pPr>
              <w:rPr>
                <w:rFonts w:hint="eastAsia" w:ascii="宋体" w:hAnsi="宋体" w:eastAsia="宋体" w:cs="宋体"/>
                <w:i w:val="0"/>
                <w:iCs w:val="0"/>
                <w:color w:val="000000"/>
                <w:sz w:val="24"/>
                <w:szCs w:val="24"/>
                <w:highlight w:val="none"/>
                <w:u w:val="none"/>
              </w:rPr>
            </w:pPr>
          </w:p>
        </w:tc>
      </w:tr>
      <w:tr w14:paraId="67BB55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B698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22</w:t>
            </w:r>
          </w:p>
        </w:tc>
        <w:tc>
          <w:tcPr>
            <w:tcW w:w="11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0A3188">
            <w:pPr>
              <w:jc w:val="center"/>
              <w:rPr>
                <w:rFonts w:hint="eastAsia" w:ascii="宋体" w:hAnsi="宋体" w:eastAsia="宋体" w:cs="宋体"/>
                <w:i w:val="0"/>
                <w:iCs w:val="0"/>
                <w:color w:val="000000"/>
                <w:sz w:val="24"/>
                <w:szCs w:val="24"/>
                <w:highlight w:val="none"/>
                <w:u w:val="none"/>
              </w:rPr>
            </w:pPr>
          </w:p>
        </w:tc>
        <w:tc>
          <w:tcPr>
            <w:tcW w:w="7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C5DC2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垃圾收集  设施管理</w:t>
            </w:r>
          </w:p>
        </w:tc>
        <w:tc>
          <w:tcPr>
            <w:tcW w:w="1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F080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在承包区域内配备数量充足的垃圾收集设施</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43C0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现场查看</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937E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66650">
            <w:pPr>
              <w:jc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75873">
            <w:pP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47FC3">
            <w:pPr>
              <w:rPr>
                <w:rFonts w:hint="eastAsia" w:ascii="宋体" w:hAnsi="宋体" w:eastAsia="宋体" w:cs="宋体"/>
                <w:i w:val="0"/>
                <w:iCs w:val="0"/>
                <w:color w:val="000000"/>
                <w:sz w:val="24"/>
                <w:szCs w:val="24"/>
                <w:highlight w:val="none"/>
                <w:u w:val="none"/>
              </w:rPr>
            </w:pPr>
          </w:p>
        </w:tc>
      </w:tr>
      <w:tr w14:paraId="16CC3A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7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2145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23</w:t>
            </w:r>
          </w:p>
        </w:tc>
        <w:tc>
          <w:tcPr>
            <w:tcW w:w="11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9CD101">
            <w:pPr>
              <w:jc w:val="center"/>
              <w:rPr>
                <w:rFonts w:hint="eastAsia" w:ascii="宋体" w:hAnsi="宋体" w:eastAsia="宋体" w:cs="宋体"/>
                <w:i w:val="0"/>
                <w:iCs w:val="0"/>
                <w:color w:val="000000"/>
                <w:sz w:val="24"/>
                <w:szCs w:val="24"/>
                <w:highlight w:val="none"/>
                <w:u w:val="none"/>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813D69">
            <w:pPr>
              <w:jc w:val="center"/>
              <w:rPr>
                <w:rFonts w:hint="eastAsia" w:ascii="宋体" w:hAnsi="宋体" w:eastAsia="宋体" w:cs="宋体"/>
                <w:i w:val="0"/>
                <w:iCs w:val="0"/>
                <w:color w:val="000000"/>
                <w:sz w:val="24"/>
                <w:szCs w:val="24"/>
                <w:highlight w:val="none"/>
                <w:u w:val="none"/>
              </w:rPr>
            </w:pPr>
          </w:p>
        </w:tc>
        <w:tc>
          <w:tcPr>
            <w:tcW w:w="1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899F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垃圾收集桶干净整洁、摆放整齐。</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2D7F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现场查看</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7D80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9B1F4">
            <w:pPr>
              <w:jc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929B5">
            <w:pP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9FAE1">
            <w:pPr>
              <w:rPr>
                <w:rFonts w:hint="eastAsia" w:ascii="宋体" w:hAnsi="宋体" w:eastAsia="宋体" w:cs="宋体"/>
                <w:i w:val="0"/>
                <w:iCs w:val="0"/>
                <w:color w:val="000000"/>
                <w:sz w:val="24"/>
                <w:szCs w:val="24"/>
                <w:highlight w:val="none"/>
                <w:u w:val="none"/>
              </w:rPr>
            </w:pPr>
          </w:p>
        </w:tc>
      </w:tr>
      <w:tr w14:paraId="4476AB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7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FA00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24</w:t>
            </w:r>
          </w:p>
        </w:tc>
        <w:tc>
          <w:tcPr>
            <w:tcW w:w="11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78BDB5">
            <w:pPr>
              <w:jc w:val="center"/>
              <w:rPr>
                <w:rFonts w:hint="eastAsia" w:ascii="宋体" w:hAnsi="宋体" w:eastAsia="宋体" w:cs="宋体"/>
                <w:i w:val="0"/>
                <w:iCs w:val="0"/>
                <w:color w:val="000000"/>
                <w:sz w:val="24"/>
                <w:szCs w:val="24"/>
                <w:highlight w:val="none"/>
                <w:u w:val="none"/>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C09B0E">
            <w:pPr>
              <w:jc w:val="center"/>
              <w:rPr>
                <w:rFonts w:hint="eastAsia" w:ascii="宋体" w:hAnsi="宋体" w:eastAsia="宋体" w:cs="宋体"/>
                <w:i w:val="0"/>
                <w:iCs w:val="0"/>
                <w:color w:val="000000"/>
                <w:sz w:val="24"/>
                <w:szCs w:val="24"/>
                <w:highlight w:val="none"/>
                <w:u w:val="none"/>
              </w:rPr>
            </w:pPr>
          </w:p>
        </w:tc>
        <w:tc>
          <w:tcPr>
            <w:tcW w:w="1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9DC1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桶、箱、台垃圾无冒尖、落地现象</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5F3A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现场查看</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A29D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03DD7">
            <w:pPr>
              <w:jc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904B4">
            <w:pP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64A4D">
            <w:pPr>
              <w:rPr>
                <w:rFonts w:hint="eastAsia" w:ascii="宋体" w:hAnsi="宋体" w:eastAsia="宋体" w:cs="宋体"/>
                <w:i w:val="0"/>
                <w:iCs w:val="0"/>
                <w:color w:val="000000"/>
                <w:sz w:val="24"/>
                <w:szCs w:val="24"/>
                <w:highlight w:val="none"/>
                <w:u w:val="none"/>
              </w:rPr>
            </w:pPr>
          </w:p>
        </w:tc>
      </w:tr>
      <w:tr w14:paraId="7DDB8E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7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086E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25</w:t>
            </w:r>
          </w:p>
        </w:tc>
        <w:tc>
          <w:tcPr>
            <w:tcW w:w="11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001A44">
            <w:pPr>
              <w:jc w:val="center"/>
              <w:rPr>
                <w:rFonts w:hint="eastAsia" w:ascii="宋体" w:hAnsi="宋体" w:eastAsia="宋体" w:cs="宋体"/>
                <w:i w:val="0"/>
                <w:iCs w:val="0"/>
                <w:color w:val="000000"/>
                <w:sz w:val="24"/>
                <w:szCs w:val="24"/>
                <w:highlight w:val="none"/>
                <w:u w:val="none"/>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A9452B">
            <w:pPr>
              <w:jc w:val="center"/>
              <w:rPr>
                <w:rFonts w:hint="eastAsia" w:ascii="宋体" w:hAnsi="宋体" w:eastAsia="宋体" w:cs="宋体"/>
                <w:i w:val="0"/>
                <w:iCs w:val="0"/>
                <w:color w:val="000000"/>
                <w:sz w:val="24"/>
                <w:szCs w:val="24"/>
                <w:highlight w:val="none"/>
                <w:u w:val="none"/>
              </w:rPr>
            </w:pPr>
          </w:p>
        </w:tc>
        <w:tc>
          <w:tcPr>
            <w:tcW w:w="1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3981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按照要求做好病媒防治、冲洗消杀工作</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1DD7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现场查看</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0019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9A4B1">
            <w:pPr>
              <w:jc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54359">
            <w:pP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F31D3">
            <w:pPr>
              <w:rPr>
                <w:rFonts w:hint="eastAsia" w:ascii="宋体" w:hAnsi="宋体" w:eastAsia="宋体" w:cs="宋体"/>
                <w:i w:val="0"/>
                <w:iCs w:val="0"/>
                <w:color w:val="000000"/>
                <w:sz w:val="24"/>
                <w:szCs w:val="24"/>
                <w:highlight w:val="none"/>
                <w:u w:val="none"/>
              </w:rPr>
            </w:pPr>
          </w:p>
        </w:tc>
      </w:tr>
      <w:tr w14:paraId="433F1E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6512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26</w:t>
            </w:r>
          </w:p>
        </w:tc>
        <w:tc>
          <w:tcPr>
            <w:tcW w:w="11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56CB5B">
            <w:pPr>
              <w:jc w:val="center"/>
              <w:rPr>
                <w:rFonts w:hint="eastAsia" w:ascii="宋体" w:hAnsi="宋体" w:eastAsia="宋体" w:cs="宋体"/>
                <w:i w:val="0"/>
                <w:iCs w:val="0"/>
                <w:color w:val="000000"/>
                <w:sz w:val="24"/>
                <w:szCs w:val="24"/>
                <w:highlight w:val="none"/>
                <w:u w:val="none"/>
              </w:rPr>
            </w:pPr>
          </w:p>
        </w:tc>
        <w:tc>
          <w:tcPr>
            <w:tcW w:w="7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1C94FB">
            <w:pPr>
              <w:jc w:val="center"/>
              <w:rPr>
                <w:rFonts w:hint="eastAsia" w:ascii="宋体" w:hAnsi="宋体" w:eastAsia="宋体" w:cs="宋体"/>
                <w:i w:val="0"/>
                <w:iCs w:val="0"/>
                <w:color w:val="000000"/>
                <w:sz w:val="24"/>
                <w:szCs w:val="24"/>
                <w:highlight w:val="none"/>
                <w:u w:val="none"/>
              </w:rPr>
            </w:pPr>
          </w:p>
        </w:tc>
        <w:tc>
          <w:tcPr>
            <w:tcW w:w="1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4E23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收集站点无渗滤液堆积</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D888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现场查看</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3134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46106">
            <w:pPr>
              <w:jc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5AED3">
            <w:pP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CDAB0">
            <w:pPr>
              <w:rPr>
                <w:rFonts w:hint="eastAsia" w:ascii="宋体" w:hAnsi="宋体" w:eastAsia="宋体" w:cs="宋体"/>
                <w:i w:val="0"/>
                <w:iCs w:val="0"/>
                <w:color w:val="000000"/>
                <w:sz w:val="24"/>
                <w:szCs w:val="24"/>
                <w:highlight w:val="none"/>
                <w:u w:val="none"/>
              </w:rPr>
            </w:pPr>
          </w:p>
        </w:tc>
      </w:tr>
      <w:tr w14:paraId="2474D9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4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ACF4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27</w:t>
            </w:r>
          </w:p>
        </w:tc>
        <w:tc>
          <w:tcPr>
            <w:tcW w:w="11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0EE84F">
            <w:pPr>
              <w:jc w:val="center"/>
              <w:rPr>
                <w:rFonts w:hint="eastAsia" w:ascii="宋体" w:hAnsi="宋体" w:eastAsia="宋体" w:cs="宋体"/>
                <w:i w:val="0"/>
                <w:iCs w:val="0"/>
                <w:color w:val="000000"/>
                <w:sz w:val="24"/>
                <w:szCs w:val="24"/>
                <w:highlight w:val="none"/>
                <w:u w:val="none"/>
              </w:rPr>
            </w:pP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0D4F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非正规垃圾点排查整治</w:t>
            </w:r>
          </w:p>
        </w:tc>
        <w:tc>
          <w:tcPr>
            <w:tcW w:w="1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0F1D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积极开展非正规垃圾点排查工作，对发现的问题及时有效整治</w:t>
            </w:r>
          </w:p>
        </w:tc>
        <w:tc>
          <w:tcPr>
            <w:tcW w:w="7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F7E1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现场查看</w:t>
            </w:r>
          </w:p>
        </w:tc>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C956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E5876">
            <w:pPr>
              <w:jc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0B047">
            <w:pP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5C1BD">
            <w:pPr>
              <w:rPr>
                <w:rFonts w:hint="eastAsia" w:ascii="宋体" w:hAnsi="宋体" w:eastAsia="宋体" w:cs="宋体"/>
                <w:i w:val="0"/>
                <w:iCs w:val="0"/>
                <w:color w:val="000000"/>
                <w:sz w:val="24"/>
                <w:szCs w:val="24"/>
                <w:highlight w:val="none"/>
                <w:u w:val="none"/>
              </w:rPr>
            </w:pPr>
          </w:p>
        </w:tc>
      </w:tr>
      <w:tr w14:paraId="1C8F49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0" w:type="auto"/>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BA7A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总计</w:t>
            </w:r>
          </w:p>
        </w:tc>
        <w:tc>
          <w:tcPr>
            <w:tcW w:w="15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77FB20">
            <w:pPr>
              <w:jc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74FF2">
            <w:pPr>
              <w:jc w:val="center"/>
              <w:rPr>
                <w:rFonts w:hint="eastAsia" w:ascii="宋体" w:hAnsi="宋体" w:eastAsia="宋体" w:cs="宋体"/>
                <w:b/>
                <w:bCs/>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C0492">
            <w:pPr>
              <w:jc w:val="center"/>
              <w:rPr>
                <w:rFonts w:hint="eastAsia" w:ascii="宋体" w:hAnsi="宋体" w:eastAsia="宋体" w:cs="宋体"/>
                <w:b/>
                <w:bCs/>
                <w:i w:val="0"/>
                <w:iCs w:val="0"/>
                <w:color w:val="000000"/>
                <w:sz w:val="24"/>
                <w:szCs w:val="24"/>
                <w:highlight w:val="none"/>
                <w:u w:val="none"/>
              </w:rPr>
            </w:pPr>
          </w:p>
        </w:tc>
      </w:tr>
      <w:tr w14:paraId="00062F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7" w:hRule="atLeast"/>
        </w:trPr>
        <w:tc>
          <w:tcPr>
            <w:tcW w:w="0" w:type="auto"/>
            <w:gridSpan w:val="9"/>
            <w:tcBorders>
              <w:top w:val="single" w:color="000000" w:sz="4" w:space="0"/>
              <w:left w:val="nil"/>
              <w:bottom w:val="nil"/>
              <w:right w:val="nil"/>
            </w:tcBorders>
            <w:shd w:val="clear" w:color="auto" w:fill="auto"/>
            <w:noWrap/>
            <w:vAlign w:val="center"/>
          </w:tcPr>
          <w:p w14:paraId="0FC8A1EE">
            <w:pPr>
              <w:keepNext w:val="0"/>
              <w:keepLines w:val="0"/>
              <w:widowControl/>
              <w:suppressLineNumbers w:val="0"/>
              <w:jc w:val="left"/>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街道办事处负责人：                                                时间：</w:t>
            </w:r>
          </w:p>
        </w:tc>
      </w:tr>
    </w:tbl>
    <w:p w14:paraId="0FA42A98">
      <w:pPr>
        <w:rPr>
          <w:rFonts w:hint="eastAsia" w:ascii="宋体" w:hAnsi="宋体" w:eastAsia="宋体" w:cs="宋体"/>
          <w:kern w:val="2"/>
          <w:sz w:val="24"/>
          <w:szCs w:val="24"/>
          <w:highlight w:val="none"/>
          <w:lang w:val="en-US" w:eastAsia="zh-CN" w:bidi="ar-SA"/>
        </w:rPr>
      </w:pPr>
    </w:p>
    <w:p w14:paraId="6441CE12">
      <w:pPr>
        <w:rPr>
          <w:rFonts w:hint="eastAsia" w:ascii="宋体" w:hAnsi="宋体" w:eastAsia="宋体" w:cs="宋体"/>
          <w:kern w:val="2"/>
          <w:sz w:val="24"/>
          <w:szCs w:val="24"/>
          <w:highlight w:val="none"/>
          <w:lang w:val="en-US" w:eastAsia="zh-CN" w:bidi="ar-SA"/>
        </w:rPr>
      </w:pPr>
    </w:p>
    <w:p w14:paraId="7374BBA9">
      <w:pPr>
        <w:pStyle w:val="2"/>
        <w:rPr>
          <w:rFonts w:hint="eastAsia" w:ascii="宋体" w:hAnsi="宋体" w:eastAsia="宋体" w:cs="宋体"/>
          <w:b/>
          <w:bCs/>
          <w:i w:val="0"/>
          <w:iCs w:val="0"/>
          <w:color w:val="000000"/>
          <w:kern w:val="0"/>
          <w:sz w:val="24"/>
          <w:szCs w:val="24"/>
          <w:highlight w:val="none"/>
          <w:u w:val="none"/>
          <w:lang w:val="en-US" w:eastAsia="zh-CN" w:bidi="ar"/>
        </w:rPr>
      </w:pPr>
    </w:p>
    <w:p w14:paraId="4C721B1D">
      <w:pPr>
        <w:pStyle w:val="2"/>
        <w:rPr>
          <w:rFonts w:hint="eastAsia" w:ascii="宋体" w:hAnsi="宋体" w:eastAsia="宋体" w:cs="宋体"/>
          <w:b/>
          <w:bCs/>
          <w:i w:val="0"/>
          <w:iCs w:val="0"/>
          <w:color w:val="000000"/>
          <w:kern w:val="0"/>
          <w:sz w:val="24"/>
          <w:szCs w:val="24"/>
          <w:highlight w:val="none"/>
          <w:u w:val="none"/>
          <w:lang w:val="en-US" w:eastAsia="zh-CN" w:bidi="ar"/>
        </w:rPr>
      </w:pPr>
    </w:p>
    <w:p w14:paraId="14E3DD44">
      <w:pPr>
        <w:pStyle w:val="2"/>
        <w:rPr>
          <w:rFonts w:hint="eastAsia" w:ascii="宋体" w:hAnsi="宋体" w:eastAsia="宋体" w:cs="宋体"/>
          <w:b/>
          <w:bCs/>
          <w:i w:val="0"/>
          <w:iCs w:val="0"/>
          <w:color w:val="000000"/>
          <w:kern w:val="0"/>
          <w:sz w:val="24"/>
          <w:szCs w:val="24"/>
          <w:highlight w:val="none"/>
          <w:u w:val="none"/>
          <w:lang w:val="en-US" w:eastAsia="zh-CN" w:bidi="ar"/>
        </w:rPr>
      </w:pPr>
    </w:p>
    <w:p w14:paraId="56E9ABEE">
      <w:pPr>
        <w:pStyle w:val="2"/>
        <w:rPr>
          <w:rFonts w:hint="eastAsia" w:ascii="宋体" w:hAnsi="宋体" w:eastAsia="宋体" w:cs="宋体"/>
          <w:b/>
          <w:bCs/>
          <w:i w:val="0"/>
          <w:iCs w:val="0"/>
          <w:color w:val="000000"/>
          <w:kern w:val="0"/>
          <w:sz w:val="24"/>
          <w:szCs w:val="24"/>
          <w:highlight w:val="none"/>
          <w:u w:val="none"/>
          <w:lang w:val="en-US" w:eastAsia="zh-CN" w:bidi="ar"/>
        </w:rPr>
      </w:pPr>
    </w:p>
    <w:p w14:paraId="2DAD2757">
      <w:pPr>
        <w:pStyle w:val="2"/>
        <w:rPr>
          <w:rFonts w:hint="eastAsia" w:ascii="宋体" w:hAnsi="宋体" w:eastAsia="宋体" w:cs="宋体"/>
          <w:b/>
          <w:bCs/>
          <w:i w:val="0"/>
          <w:iCs w:val="0"/>
          <w:color w:val="000000"/>
          <w:kern w:val="0"/>
          <w:sz w:val="24"/>
          <w:szCs w:val="24"/>
          <w:highlight w:val="none"/>
          <w:u w:val="none"/>
          <w:lang w:val="en-US" w:eastAsia="zh-CN" w:bidi="ar"/>
        </w:rPr>
      </w:pPr>
    </w:p>
    <w:p w14:paraId="68330025">
      <w:pPr>
        <w:pStyle w:val="2"/>
        <w:rPr>
          <w:rFonts w:hint="eastAsia" w:ascii="宋体" w:hAnsi="宋体" w:eastAsia="宋体" w:cs="宋体"/>
          <w:b/>
          <w:bCs/>
          <w:i w:val="0"/>
          <w:iCs w:val="0"/>
          <w:color w:val="000000"/>
          <w:kern w:val="0"/>
          <w:sz w:val="24"/>
          <w:szCs w:val="24"/>
          <w:highlight w:val="none"/>
          <w:u w:val="none"/>
          <w:lang w:val="en-US" w:eastAsia="zh-CN" w:bidi="ar"/>
        </w:rPr>
      </w:pPr>
    </w:p>
    <w:p w14:paraId="3E8A3576">
      <w:pPr>
        <w:pStyle w:val="2"/>
        <w:rPr>
          <w:rFonts w:hint="eastAsia" w:ascii="宋体" w:hAnsi="宋体" w:eastAsia="宋体" w:cs="宋体"/>
          <w:b/>
          <w:bCs/>
          <w:i w:val="0"/>
          <w:iCs w:val="0"/>
          <w:color w:val="000000"/>
          <w:kern w:val="0"/>
          <w:sz w:val="24"/>
          <w:szCs w:val="24"/>
          <w:highlight w:val="none"/>
          <w:u w:val="none"/>
          <w:lang w:val="en-US" w:eastAsia="zh-CN" w:bidi="ar"/>
        </w:rPr>
      </w:pPr>
    </w:p>
    <w:p w14:paraId="43A5B027">
      <w:pPr>
        <w:pStyle w:val="2"/>
        <w:rPr>
          <w:rFonts w:hint="eastAsia" w:ascii="宋体" w:hAnsi="宋体" w:eastAsia="宋体" w:cs="宋体"/>
          <w:b/>
          <w:bCs/>
          <w:i w:val="0"/>
          <w:iCs w:val="0"/>
          <w:color w:val="000000"/>
          <w:kern w:val="0"/>
          <w:sz w:val="24"/>
          <w:szCs w:val="24"/>
          <w:highlight w:val="none"/>
          <w:u w:val="none"/>
          <w:lang w:val="en-US" w:eastAsia="zh-CN" w:bidi="ar"/>
        </w:rPr>
      </w:pPr>
    </w:p>
    <w:p w14:paraId="04FDD05B">
      <w:pPr>
        <w:pStyle w:val="2"/>
        <w:rPr>
          <w:rFonts w:hint="eastAsia" w:ascii="宋体" w:hAnsi="宋体" w:eastAsia="宋体" w:cs="宋体"/>
          <w:b/>
          <w:bCs/>
          <w:i w:val="0"/>
          <w:iCs w:val="0"/>
          <w:color w:val="000000"/>
          <w:kern w:val="0"/>
          <w:sz w:val="24"/>
          <w:szCs w:val="24"/>
          <w:highlight w:val="none"/>
          <w:u w:val="none"/>
          <w:lang w:val="en-US" w:eastAsia="zh-CN" w:bidi="ar"/>
        </w:rPr>
      </w:pPr>
    </w:p>
    <w:p w14:paraId="28A3852F">
      <w:pPr>
        <w:pStyle w:val="2"/>
        <w:rPr>
          <w:rFonts w:hint="eastAsia" w:ascii="宋体" w:hAnsi="宋体" w:eastAsia="宋体" w:cs="宋体"/>
          <w:b/>
          <w:bCs/>
          <w:i w:val="0"/>
          <w:iCs w:val="0"/>
          <w:color w:val="000000"/>
          <w:kern w:val="0"/>
          <w:sz w:val="24"/>
          <w:szCs w:val="24"/>
          <w:highlight w:val="none"/>
          <w:u w:val="none"/>
          <w:lang w:val="en-US" w:eastAsia="zh-CN" w:bidi="ar"/>
        </w:rPr>
      </w:pPr>
    </w:p>
    <w:p w14:paraId="4E7115DE">
      <w:pPr>
        <w:pStyle w:val="2"/>
        <w:rPr>
          <w:rFonts w:hint="eastAsia" w:ascii="宋体" w:hAnsi="宋体" w:eastAsia="宋体" w:cs="宋体"/>
          <w:b/>
          <w:bCs/>
          <w:i w:val="0"/>
          <w:iCs w:val="0"/>
          <w:color w:val="000000"/>
          <w:kern w:val="0"/>
          <w:sz w:val="24"/>
          <w:szCs w:val="24"/>
          <w:highlight w:val="none"/>
          <w:u w:val="none"/>
          <w:lang w:val="en-US" w:eastAsia="zh-CN" w:bidi="ar"/>
        </w:rPr>
      </w:pPr>
    </w:p>
    <w:p w14:paraId="697A1F47">
      <w:pPr>
        <w:pStyle w:val="2"/>
        <w:rPr>
          <w:rFonts w:hint="eastAsia" w:ascii="宋体" w:hAnsi="宋体" w:eastAsia="宋体" w:cs="宋体"/>
          <w:b/>
          <w:bCs/>
          <w:i w:val="0"/>
          <w:iCs w:val="0"/>
          <w:color w:val="000000"/>
          <w:kern w:val="0"/>
          <w:sz w:val="24"/>
          <w:szCs w:val="24"/>
          <w:highlight w:val="none"/>
          <w:u w:val="none"/>
          <w:lang w:val="en-US" w:eastAsia="zh-CN" w:bidi="ar"/>
        </w:rPr>
      </w:pPr>
    </w:p>
    <w:p w14:paraId="5E07201B">
      <w:pPr>
        <w:pStyle w:val="2"/>
        <w:rPr>
          <w:rFonts w:hint="eastAsia" w:ascii="宋体" w:hAnsi="宋体" w:eastAsia="宋体" w:cs="宋体"/>
          <w:b/>
          <w:bCs/>
          <w:i w:val="0"/>
          <w:iCs w:val="0"/>
          <w:color w:val="000000"/>
          <w:kern w:val="0"/>
          <w:sz w:val="24"/>
          <w:szCs w:val="24"/>
          <w:highlight w:val="none"/>
          <w:u w:val="none"/>
          <w:lang w:val="en-US" w:eastAsia="zh-CN" w:bidi="ar"/>
        </w:rPr>
      </w:pPr>
    </w:p>
    <w:p w14:paraId="562E995E">
      <w:pPr>
        <w:pStyle w:val="2"/>
        <w:rPr>
          <w:rFonts w:hint="eastAsia" w:ascii="宋体" w:hAnsi="宋体" w:eastAsia="宋体" w:cs="宋体"/>
          <w:b/>
          <w:bCs/>
          <w:i w:val="0"/>
          <w:iCs w:val="0"/>
          <w:color w:val="000000"/>
          <w:kern w:val="0"/>
          <w:sz w:val="24"/>
          <w:szCs w:val="24"/>
          <w:highlight w:val="none"/>
          <w:u w:val="none"/>
          <w:lang w:val="en-US" w:eastAsia="zh-CN" w:bidi="ar"/>
        </w:rPr>
      </w:pPr>
    </w:p>
    <w:p w14:paraId="2ECEBB44">
      <w:pPr>
        <w:pStyle w:val="2"/>
        <w:rPr>
          <w:rFonts w:hint="eastAsia" w:ascii="宋体" w:hAnsi="宋体" w:eastAsia="宋体" w:cs="宋体"/>
          <w:b/>
          <w:bCs/>
          <w:i w:val="0"/>
          <w:iCs w:val="0"/>
          <w:color w:val="000000"/>
          <w:kern w:val="0"/>
          <w:sz w:val="24"/>
          <w:szCs w:val="24"/>
          <w:highlight w:val="none"/>
          <w:u w:val="none"/>
          <w:lang w:val="en-US" w:eastAsia="zh-CN" w:bidi="ar"/>
        </w:rPr>
      </w:pPr>
    </w:p>
    <w:p w14:paraId="0F31779F">
      <w:pPr>
        <w:pStyle w:val="2"/>
        <w:rPr>
          <w:rFonts w:hint="eastAsia" w:ascii="宋体" w:hAnsi="宋体" w:eastAsia="宋体" w:cs="宋体"/>
          <w:b/>
          <w:bCs/>
          <w:i w:val="0"/>
          <w:iCs w:val="0"/>
          <w:color w:val="000000"/>
          <w:kern w:val="0"/>
          <w:sz w:val="24"/>
          <w:szCs w:val="24"/>
          <w:highlight w:val="none"/>
          <w:u w:val="none"/>
          <w:lang w:val="en-US" w:eastAsia="zh-CN" w:bidi="ar"/>
        </w:rPr>
      </w:pPr>
    </w:p>
    <w:p w14:paraId="727D80BC">
      <w:pPr>
        <w:pStyle w:val="2"/>
        <w:rPr>
          <w:rFonts w:hint="eastAsia" w:ascii="宋体" w:hAnsi="宋体" w:eastAsia="宋体" w:cs="宋体"/>
          <w:b/>
          <w:bCs/>
          <w:i w:val="0"/>
          <w:iCs w:val="0"/>
          <w:color w:val="000000"/>
          <w:kern w:val="0"/>
          <w:sz w:val="24"/>
          <w:szCs w:val="24"/>
          <w:highlight w:val="none"/>
          <w:u w:val="none"/>
          <w:lang w:val="en-US" w:eastAsia="zh-CN" w:bidi="ar"/>
        </w:rPr>
      </w:pPr>
    </w:p>
    <w:p w14:paraId="6620C053">
      <w:pPr>
        <w:pStyle w:val="2"/>
        <w:rPr>
          <w:rFonts w:hint="eastAsia" w:ascii="宋体" w:hAnsi="宋体" w:eastAsia="宋体" w:cs="宋体"/>
          <w:b/>
          <w:bCs/>
          <w:i w:val="0"/>
          <w:iCs w:val="0"/>
          <w:color w:val="000000"/>
          <w:kern w:val="0"/>
          <w:sz w:val="24"/>
          <w:szCs w:val="24"/>
          <w:highlight w:val="none"/>
          <w:u w:val="none"/>
          <w:lang w:val="en-US" w:eastAsia="zh-CN" w:bidi="ar"/>
        </w:rPr>
      </w:pPr>
    </w:p>
    <w:p w14:paraId="336676C0">
      <w:pPr>
        <w:pStyle w:val="2"/>
        <w:rPr>
          <w:rFonts w:hint="eastAsia" w:ascii="宋体" w:hAnsi="宋体" w:eastAsia="宋体" w:cs="宋体"/>
          <w:b/>
          <w:bCs/>
          <w:i w:val="0"/>
          <w:iCs w:val="0"/>
          <w:color w:val="000000"/>
          <w:kern w:val="0"/>
          <w:sz w:val="24"/>
          <w:szCs w:val="24"/>
          <w:highlight w:val="none"/>
          <w:u w:val="none"/>
          <w:lang w:val="en-US" w:eastAsia="zh-CN" w:bidi="ar"/>
        </w:rPr>
      </w:pPr>
    </w:p>
    <w:p w14:paraId="160E98E5">
      <w:pPr>
        <w:pStyle w:val="2"/>
        <w:rPr>
          <w:rFonts w:hint="eastAsia" w:ascii="宋体" w:hAnsi="宋体" w:eastAsia="宋体" w:cs="宋体"/>
          <w:b/>
          <w:bCs/>
          <w:i w:val="0"/>
          <w:iCs w:val="0"/>
          <w:color w:val="000000"/>
          <w:kern w:val="0"/>
          <w:sz w:val="24"/>
          <w:szCs w:val="24"/>
          <w:highlight w:val="none"/>
          <w:u w:val="none"/>
          <w:lang w:val="en-US" w:eastAsia="zh-CN" w:bidi="ar"/>
        </w:rPr>
      </w:pPr>
    </w:p>
    <w:p w14:paraId="7F8902E8">
      <w:pPr>
        <w:pStyle w:val="2"/>
        <w:rPr>
          <w:rFonts w:hint="eastAsia" w:ascii="宋体" w:hAnsi="宋体" w:eastAsia="宋体" w:cs="宋体"/>
          <w:b/>
          <w:bCs/>
          <w:i w:val="0"/>
          <w:iCs w:val="0"/>
          <w:color w:val="000000"/>
          <w:kern w:val="0"/>
          <w:sz w:val="24"/>
          <w:szCs w:val="24"/>
          <w:highlight w:val="none"/>
          <w:u w:val="none"/>
          <w:lang w:val="en-US" w:eastAsia="zh-CN" w:bidi="ar"/>
        </w:rPr>
      </w:pPr>
    </w:p>
    <w:p w14:paraId="55519C22">
      <w:pPr>
        <w:pStyle w:val="2"/>
        <w:rPr>
          <w:rFonts w:hint="eastAsia" w:ascii="宋体" w:hAnsi="宋体" w:eastAsia="宋体" w:cs="宋体"/>
          <w:b/>
          <w:bCs/>
          <w:i w:val="0"/>
          <w:iCs w:val="0"/>
          <w:color w:val="000000"/>
          <w:kern w:val="0"/>
          <w:sz w:val="24"/>
          <w:szCs w:val="24"/>
          <w:highlight w:val="none"/>
          <w:u w:val="none"/>
          <w:lang w:val="en-US" w:eastAsia="zh-CN" w:bidi="ar"/>
        </w:rPr>
      </w:pPr>
    </w:p>
    <w:p w14:paraId="0461BE25">
      <w:pPr>
        <w:pStyle w:val="2"/>
        <w:rPr>
          <w:rFonts w:hint="eastAsia" w:ascii="宋体" w:hAnsi="宋体" w:eastAsia="宋体" w:cs="宋体"/>
          <w:b/>
          <w:bCs/>
          <w:i w:val="0"/>
          <w:iCs w:val="0"/>
          <w:color w:val="000000"/>
          <w:kern w:val="0"/>
          <w:sz w:val="24"/>
          <w:szCs w:val="24"/>
          <w:highlight w:val="none"/>
          <w:u w:val="none"/>
          <w:lang w:val="en-US" w:eastAsia="zh-CN" w:bidi="ar"/>
        </w:rPr>
      </w:pPr>
    </w:p>
    <w:p w14:paraId="6C66E9F4">
      <w:pPr>
        <w:pStyle w:val="2"/>
        <w:rPr>
          <w:rFonts w:hint="eastAsia" w:ascii="宋体" w:hAnsi="宋体" w:eastAsia="宋体" w:cs="宋体"/>
          <w:b/>
          <w:bCs/>
          <w:i w:val="0"/>
          <w:iCs w:val="0"/>
          <w:color w:val="000000"/>
          <w:kern w:val="0"/>
          <w:sz w:val="24"/>
          <w:szCs w:val="24"/>
          <w:highlight w:val="none"/>
          <w:u w:val="none"/>
          <w:lang w:val="en-US" w:eastAsia="zh-CN" w:bidi="ar"/>
        </w:rPr>
      </w:pPr>
    </w:p>
    <w:p w14:paraId="71DF510C">
      <w:pPr>
        <w:pStyle w:val="2"/>
        <w:rPr>
          <w:rFonts w:hint="eastAsia" w:ascii="宋体" w:hAnsi="宋体" w:eastAsia="宋体" w:cs="宋体"/>
          <w:b/>
          <w:bCs/>
          <w:i w:val="0"/>
          <w:iCs w:val="0"/>
          <w:color w:val="000000"/>
          <w:kern w:val="0"/>
          <w:sz w:val="24"/>
          <w:szCs w:val="24"/>
          <w:highlight w:val="none"/>
          <w:u w:val="none"/>
          <w:lang w:val="en-US" w:eastAsia="zh-CN" w:bidi="ar"/>
        </w:rPr>
      </w:pPr>
    </w:p>
    <w:p w14:paraId="68A6DA9F">
      <w:pPr>
        <w:pStyle w:val="2"/>
        <w:rPr>
          <w:rFonts w:hint="eastAsia" w:ascii="宋体" w:hAnsi="宋体" w:eastAsia="宋体" w:cs="宋体"/>
          <w:b/>
          <w:bCs/>
          <w:i w:val="0"/>
          <w:iCs w:val="0"/>
          <w:color w:val="000000"/>
          <w:kern w:val="0"/>
          <w:sz w:val="24"/>
          <w:szCs w:val="24"/>
          <w:highlight w:val="none"/>
          <w:u w:val="none"/>
          <w:lang w:val="en-US" w:eastAsia="zh-CN" w:bidi="ar"/>
        </w:rPr>
      </w:pPr>
    </w:p>
    <w:p w14:paraId="05723758">
      <w:pPr>
        <w:pStyle w:val="2"/>
        <w:rPr>
          <w:rFonts w:hint="eastAsia" w:ascii="宋体" w:hAnsi="宋体" w:eastAsia="宋体" w:cs="宋体"/>
          <w:b/>
          <w:bCs/>
          <w:i w:val="0"/>
          <w:iCs w:val="0"/>
          <w:color w:val="000000"/>
          <w:kern w:val="0"/>
          <w:sz w:val="24"/>
          <w:szCs w:val="24"/>
          <w:highlight w:val="none"/>
          <w:u w:val="none"/>
          <w:lang w:val="en-US" w:eastAsia="zh-CN" w:bidi="ar"/>
        </w:rPr>
      </w:pPr>
    </w:p>
    <w:p w14:paraId="11A8B624">
      <w:pPr>
        <w:pStyle w:val="2"/>
        <w:rPr>
          <w:rFonts w:hint="eastAsia" w:ascii="宋体" w:hAnsi="宋体" w:eastAsia="宋体" w:cs="宋体"/>
          <w:b/>
          <w:bCs/>
          <w:i w:val="0"/>
          <w:iCs w:val="0"/>
          <w:color w:val="000000"/>
          <w:kern w:val="0"/>
          <w:sz w:val="24"/>
          <w:szCs w:val="24"/>
          <w:highlight w:val="none"/>
          <w:u w:val="none"/>
          <w:lang w:val="en-US" w:eastAsia="zh-CN" w:bidi="ar"/>
        </w:rPr>
      </w:pPr>
    </w:p>
    <w:p w14:paraId="52CD1DB2">
      <w:pPr>
        <w:pStyle w:val="2"/>
        <w:rPr>
          <w:rFonts w:hint="eastAsia" w:ascii="宋体" w:hAnsi="宋体" w:eastAsia="宋体" w:cs="宋体"/>
          <w:b/>
          <w:bCs/>
          <w:i w:val="0"/>
          <w:iCs w:val="0"/>
          <w:color w:val="000000"/>
          <w:kern w:val="0"/>
          <w:sz w:val="24"/>
          <w:szCs w:val="24"/>
          <w:highlight w:val="none"/>
          <w:u w:val="none"/>
          <w:lang w:val="en-US" w:eastAsia="zh-CN" w:bidi="ar"/>
        </w:rPr>
      </w:pPr>
    </w:p>
    <w:p w14:paraId="04A6B1CF">
      <w:pPr>
        <w:pStyle w:val="2"/>
        <w:rPr>
          <w:rFonts w:hint="default"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附件4</w:t>
      </w:r>
    </w:p>
    <w:p w14:paraId="00C6CF36">
      <w:pPr>
        <w:pStyle w:val="26"/>
        <w:spacing w:line="360" w:lineRule="auto"/>
        <w:jc w:val="center"/>
        <w:rPr>
          <w:rFonts w:hint="eastAsia" w:ascii="宋体" w:hAnsi="宋体" w:eastAsia="宋体" w:cs="宋体"/>
          <w:bCs/>
          <w:kern w:val="0"/>
          <w:sz w:val="24"/>
          <w:szCs w:val="24"/>
          <w:highlight w:val="none"/>
          <w:lang w:eastAsia="zh-CN"/>
        </w:rPr>
      </w:pPr>
      <w:r>
        <w:rPr>
          <w:rFonts w:hint="eastAsia" w:ascii="宋体" w:hAnsi="宋体" w:eastAsia="宋体" w:cs="宋体"/>
          <w:b/>
          <w:kern w:val="0"/>
          <w:sz w:val="24"/>
          <w:szCs w:val="24"/>
          <w:highlight w:val="none"/>
          <w:lang w:eastAsia="zh-CN"/>
        </w:rPr>
        <w:t>草堂街道</w:t>
      </w:r>
      <w:r>
        <w:rPr>
          <w:rFonts w:hint="eastAsia" w:ascii="宋体" w:hAnsi="宋体" w:eastAsia="宋体" w:cs="宋体"/>
          <w:b/>
          <w:kern w:val="0"/>
          <w:sz w:val="24"/>
          <w:szCs w:val="24"/>
          <w:highlight w:val="none"/>
        </w:rPr>
        <w:t>绿</w:t>
      </w:r>
      <w:r>
        <w:rPr>
          <w:rFonts w:hint="eastAsia" w:ascii="宋体" w:hAnsi="宋体" w:eastAsia="宋体" w:cs="宋体"/>
          <w:b/>
          <w:kern w:val="0"/>
          <w:sz w:val="24"/>
          <w:szCs w:val="24"/>
          <w:highlight w:val="none"/>
          <w:lang w:eastAsia="zh-CN"/>
        </w:rPr>
        <w:t>化</w:t>
      </w:r>
      <w:r>
        <w:rPr>
          <w:rFonts w:hint="eastAsia" w:ascii="宋体" w:hAnsi="宋体" w:eastAsia="宋体" w:cs="宋体"/>
          <w:b/>
          <w:kern w:val="0"/>
          <w:sz w:val="24"/>
          <w:szCs w:val="24"/>
          <w:highlight w:val="none"/>
        </w:rPr>
        <w:t>养护考核办法</w:t>
      </w:r>
    </w:p>
    <w:p w14:paraId="16710ACD">
      <w:pPr>
        <w:numPr>
          <w:ilvl w:val="0"/>
          <w:numId w:val="18"/>
        </w:numPr>
        <w:spacing w:before="170" w:line="539" w:lineRule="exact"/>
        <w:jc w:val="center"/>
        <w:rPr>
          <w:rFonts w:hint="eastAsia" w:ascii="宋体" w:hAnsi="宋体" w:eastAsia="宋体" w:cs="宋体"/>
          <w:spacing w:val="7"/>
          <w:position w:val="16"/>
          <w:sz w:val="24"/>
          <w:szCs w:val="24"/>
          <w:highlight w:val="none"/>
        </w:rPr>
      </w:pPr>
      <w:r>
        <w:rPr>
          <w:rFonts w:hint="eastAsia" w:ascii="宋体" w:hAnsi="宋体" w:eastAsia="宋体" w:cs="宋体"/>
          <w:spacing w:val="7"/>
          <w:position w:val="16"/>
          <w:sz w:val="24"/>
          <w:szCs w:val="24"/>
          <w:highlight w:val="none"/>
        </w:rPr>
        <w:t xml:space="preserve"> 总 则</w:t>
      </w:r>
    </w:p>
    <w:p w14:paraId="2EC12568">
      <w:pPr>
        <w:pStyle w:val="3"/>
        <w:rPr>
          <w:rFonts w:hint="eastAsia" w:ascii="宋体" w:hAnsi="宋体" w:eastAsia="宋体" w:cs="宋体"/>
          <w:sz w:val="24"/>
          <w:szCs w:val="24"/>
          <w:highlight w:val="none"/>
        </w:rPr>
      </w:pPr>
    </w:p>
    <w:p w14:paraId="7B5A9155">
      <w:pPr>
        <w:spacing w:line="560" w:lineRule="exact"/>
        <w:ind w:firstLine="480" w:firstLineChars="20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第一条  目的</w:t>
      </w:r>
    </w:p>
    <w:p w14:paraId="608293A9">
      <w:pPr>
        <w:spacing w:line="5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为了进一步健全绿化养护管理体系，提升绿化养护管理水平，巩固绿化建设成果，更加科学合理评价绿化养护工作质量</w:t>
      </w:r>
      <w:r>
        <w:rPr>
          <w:rFonts w:hint="eastAsia" w:ascii="宋体" w:hAnsi="宋体" w:eastAsia="宋体" w:cs="宋体"/>
          <w:b w:val="0"/>
          <w:bCs w:val="0"/>
          <w:sz w:val="24"/>
          <w:szCs w:val="24"/>
          <w:highlight w:val="none"/>
        </w:rPr>
        <w:t>，形成常态化、长效化、精细化绿化养护管理机制，持续推动西安</w:t>
      </w:r>
      <w:r>
        <w:rPr>
          <w:rFonts w:hint="eastAsia" w:ascii="宋体" w:hAnsi="宋体" w:eastAsia="宋体" w:cs="宋体"/>
          <w:sz w:val="24"/>
          <w:szCs w:val="24"/>
          <w:highlight w:val="none"/>
        </w:rPr>
        <w:t>高新区（以下简称“高新区”）城市绿化工作高质量发展，根据《西安市城市绿化条例》、《园林绿化养护标准》及《</w:t>
      </w:r>
      <w:r>
        <w:rPr>
          <w:rFonts w:hint="eastAsia" w:ascii="宋体" w:hAnsi="宋体" w:eastAsia="宋体" w:cs="宋体"/>
          <w:sz w:val="24"/>
          <w:szCs w:val="24"/>
          <w:highlight w:val="none"/>
          <w:lang w:eastAsia="zh-CN"/>
        </w:rPr>
        <w:t>西安</w:t>
      </w:r>
      <w:r>
        <w:rPr>
          <w:rFonts w:hint="eastAsia" w:ascii="宋体" w:hAnsi="宋体" w:eastAsia="宋体" w:cs="宋体"/>
          <w:sz w:val="24"/>
          <w:szCs w:val="24"/>
          <w:highlight w:val="none"/>
        </w:rPr>
        <w:t>高新区城市精细化管理标准(试行)》，结合实际，制定本办法。</w:t>
      </w:r>
    </w:p>
    <w:p w14:paraId="04971360">
      <w:pPr>
        <w:spacing w:line="560" w:lineRule="exact"/>
        <w:ind w:firstLine="480" w:firstLineChars="20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第二条  考核范围</w:t>
      </w:r>
    </w:p>
    <w:p w14:paraId="2A69B042">
      <w:pPr>
        <w:spacing w:line="5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本办法适用于</w:t>
      </w:r>
      <w:r>
        <w:rPr>
          <w:rFonts w:hint="eastAsia" w:ascii="宋体" w:hAnsi="宋体" w:eastAsia="宋体" w:cs="宋体"/>
          <w:sz w:val="24"/>
          <w:szCs w:val="24"/>
          <w:highlight w:val="none"/>
          <w:lang w:eastAsia="zh-CN"/>
        </w:rPr>
        <w:t>草堂辖区外包的</w:t>
      </w:r>
      <w:r>
        <w:rPr>
          <w:rFonts w:hint="eastAsia" w:ascii="宋体" w:hAnsi="宋体" w:eastAsia="宋体" w:cs="宋体"/>
          <w:sz w:val="24"/>
          <w:szCs w:val="24"/>
          <w:highlight w:val="none"/>
        </w:rPr>
        <w:t>道路（广场）绿化等公共绿地。</w:t>
      </w:r>
    </w:p>
    <w:p w14:paraId="14AE72B1">
      <w:pPr>
        <w:spacing w:line="560" w:lineRule="exact"/>
        <w:ind w:firstLine="480" w:firstLineChars="20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第三条  考核对象</w:t>
      </w:r>
    </w:p>
    <w:p w14:paraId="6EAF3B29">
      <w:pPr>
        <w:spacing w:line="5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高新区草堂街道办事处</w:t>
      </w:r>
      <w:r>
        <w:rPr>
          <w:rFonts w:hint="eastAsia" w:ascii="宋体" w:hAnsi="宋体" w:eastAsia="宋体" w:cs="宋体"/>
          <w:sz w:val="24"/>
          <w:szCs w:val="24"/>
          <w:highlight w:val="none"/>
        </w:rPr>
        <w:t>（以下简称“</w:t>
      </w:r>
      <w:r>
        <w:rPr>
          <w:rFonts w:hint="eastAsia" w:ascii="宋体" w:hAnsi="宋体" w:eastAsia="宋体" w:cs="宋体"/>
          <w:sz w:val="24"/>
          <w:szCs w:val="24"/>
          <w:highlight w:val="none"/>
          <w:lang w:eastAsia="zh-CN"/>
        </w:rPr>
        <w:t>草堂街办</w:t>
      </w:r>
      <w:r>
        <w:rPr>
          <w:rFonts w:hint="eastAsia" w:ascii="宋体" w:hAnsi="宋体" w:eastAsia="宋体" w:cs="宋体"/>
          <w:sz w:val="24"/>
          <w:szCs w:val="24"/>
          <w:highlight w:val="none"/>
        </w:rPr>
        <w:t>”）负责</w:t>
      </w:r>
      <w:r>
        <w:rPr>
          <w:rFonts w:hint="eastAsia" w:ascii="宋体" w:hAnsi="宋体" w:eastAsia="宋体" w:cs="宋体"/>
          <w:sz w:val="24"/>
          <w:szCs w:val="24"/>
          <w:highlight w:val="none"/>
          <w:lang w:eastAsia="zh-CN"/>
        </w:rPr>
        <w:t>辖区绿化</w:t>
      </w:r>
      <w:r>
        <w:rPr>
          <w:rFonts w:hint="eastAsia" w:ascii="宋体" w:hAnsi="宋体" w:eastAsia="宋体" w:cs="宋体"/>
          <w:sz w:val="24"/>
          <w:szCs w:val="24"/>
          <w:highlight w:val="none"/>
        </w:rPr>
        <w:t>养护考核工作的组织实施，考核对象为在</w:t>
      </w:r>
      <w:r>
        <w:rPr>
          <w:rFonts w:hint="eastAsia" w:ascii="宋体" w:hAnsi="宋体" w:eastAsia="宋体" w:cs="宋体"/>
          <w:sz w:val="24"/>
          <w:szCs w:val="24"/>
          <w:highlight w:val="none"/>
          <w:lang w:eastAsia="zh-CN"/>
        </w:rPr>
        <w:t>草堂</w:t>
      </w:r>
      <w:r>
        <w:rPr>
          <w:rFonts w:hint="eastAsia" w:ascii="宋体" w:hAnsi="宋体" w:eastAsia="宋体" w:cs="宋体"/>
          <w:sz w:val="24"/>
          <w:szCs w:val="24"/>
          <w:highlight w:val="none"/>
        </w:rPr>
        <w:t>范围内，通过招标取得园林绿化养护资格的企业单位（以下简称“养护单位”）。</w:t>
      </w:r>
    </w:p>
    <w:p w14:paraId="6AF21A50">
      <w:pPr>
        <w:spacing w:line="560" w:lineRule="exact"/>
        <w:ind w:firstLine="480" w:firstLineChars="20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第四条  考核原则</w:t>
      </w:r>
    </w:p>
    <w:p w14:paraId="1A8A1342">
      <w:pPr>
        <w:spacing w:line="5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（一）</w:t>
      </w:r>
      <w:r>
        <w:rPr>
          <w:rFonts w:hint="eastAsia" w:ascii="宋体" w:hAnsi="宋体" w:eastAsia="宋体" w:cs="宋体"/>
          <w:b/>
          <w:bCs/>
          <w:sz w:val="24"/>
          <w:szCs w:val="24"/>
          <w:highlight w:val="none"/>
          <w:lang w:val="en-US" w:eastAsia="zh-CN"/>
        </w:rPr>
        <w:t>严格标准</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rPr>
        <w:t>客观公正</w:t>
      </w:r>
      <w:r>
        <w:rPr>
          <w:rFonts w:hint="eastAsia" w:ascii="宋体" w:hAnsi="宋体" w:eastAsia="宋体" w:cs="宋体"/>
          <w:sz w:val="24"/>
          <w:szCs w:val="24"/>
          <w:highlight w:val="none"/>
        </w:rPr>
        <w:t>。坚持“一把尺子量到底”，严格考核标准，统一考核内容，客观、公平、公正地实施考核。</w:t>
      </w:r>
    </w:p>
    <w:p w14:paraId="7BC0AB45">
      <w:pPr>
        <w:spacing w:line="5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（二）</w:t>
      </w:r>
      <w:r>
        <w:rPr>
          <w:rFonts w:hint="eastAsia" w:ascii="宋体" w:hAnsi="宋体" w:eastAsia="宋体" w:cs="宋体"/>
          <w:b/>
          <w:bCs/>
          <w:sz w:val="24"/>
          <w:szCs w:val="24"/>
          <w:highlight w:val="none"/>
        </w:rPr>
        <w:t>综合评价、</w:t>
      </w:r>
      <w:r>
        <w:rPr>
          <w:rFonts w:hint="eastAsia" w:ascii="宋体" w:hAnsi="宋体" w:eastAsia="宋体" w:cs="宋体"/>
          <w:b/>
          <w:bCs/>
          <w:sz w:val="24"/>
          <w:szCs w:val="24"/>
          <w:highlight w:val="none"/>
          <w:lang w:val="en-US" w:eastAsia="zh-CN"/>
        </w:rPr>
        <w:t>按量付酬</w:t>
      </w:r>
      <w:r>
        <w:rPr>
          <w:rFonts w:hint="eastAsia" w:ascii="宋体" w:hAnsi="宋体" w:eastAsia="宋体" w:cs="宋体"/>
          <w:sz w:val="24"/>
          <w:szCs w:val="24"/>
          <w:highlight w:val="none"/>
        </w:rPr>
        <w:t>。坚持统筹兼顾，注重质与量相统一，综合运用</w:t>
      </w:r>
      <w:r>
        <w:rPr>
          <w:rFonts w:hint="eastAsia" w:ascii="宋体" w:hAnsi="宋体" w:eastAsia="宋体" w:cs="宋体"/>
          <w:sz w:val="24"/>
          <w:szCs w:val="24"/>
          <w:highlight w:val="none"/>
          <w:lang w:val="en-US" w:eastAsia="zh-CN"/>
        </w:rPr>
        <w:t>计量</w:t>
      </w:r>
      <w:r>
        <w:rPr>
          <w:rFonts w:hint="eastAsia" w:ascii="宋体" w:hAnsi="宋体" w:eastAsia="宋体" w:cs="宋体"/>
          <w:sz w:val="24"/>
          <w:szCs w:val="24"/>
          <w:highlight w:val="none"/>
        </w:rPr>
        <w:t>考核和</w:t>
      </w:r>
      <w:r>
        <w:rPr>
          <w:rFonts w:hint="eastAsia" w:ascii="宋体" w:hAnsi="宋体" w:eastAsia="宋体" w:cs="宋体"/>
          <w:sz w:val="24"/>
          <w:szCs w:val="24"/>
          <w:highlight w:val="none"/>
          <w:lang w:val="en-US" w:eastAsia="zh-CN"/>
        </w:rPr>
        <w:t>成效</w:t>
      </w:r>
      <w:r>
        <w:rPr>
          <w:rFonts w:hint="eastAsia" w:ascii="宋体" w:hAnsi="宋体" w:eastAsia="宋体" w:cs="宋体"/>
          <w:sz w:val="24"/>
          <w:szCs w:val="24"/>
          <w:highlight w:val="none"/>
        </w:rPr>
        <w:t>考核方式，全面评价绿化养护工作，并严格按考核结果结算付款。</w:t>
      </w:r>
    </w:p>
    <w:p w14:paraId="226C943D">
      <w:pPr>
        <w:spacing w:line="5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（三）</w:t>
      </w:r>
      <w:r>
        <w:rPr>
          <w:rFonts w:hint="eastAsia" w:ascii="宋体" w:hAnsi="宋体" w:eastAsia="宋体" w:cs="宋体"/>
          <w:b/>
          <w:bCs/>
          <w:sz w:val="24"/>
          <w:szCs w:val="24"/>
          <w:highlight w:val="none"/>
          <w:lang w:val="en-US" w:eastAsia="zh-CN"/>
        </w:rPr>
        <w:t>精准考核</w:t>
      </w:r>
      <w:r>
        <w:rPr>
          <w:rFonts w:hint="eastAsia" w:ascii="宋体" w:hAnsi="宋体" w:eastAsia="宋体" w:cs="宋体"/>
          <w:b/>
          <w:bCs/>
          <w:sz w:val="24"/>
          <w:szCs w:val="24"/>
          <w:highlight w:val="none"/>
        </w:rPr>
        <w:t>、奖优罚劣</w:t>
      </w:r>
      <w:r>
        <w:rPr>
          <w:rFonts w:hint="eastAsia" w:ascii="宋体" w:hAnsi="宋体" w:eastAsia="宋体" w:cs="宋体"/>
          <w:sz w:val="24"/>
          <w:szCs w:val="24"/>
          <w:highlight w:val="none"/>
        </w:rPr>
        <w:t>。坚持指标量化、流程细化，确保考核可操作、易执行、能落地，同时明确考核责任、考核周期和奖罚措施，确保任务明确、责任清晰、奖罚分明。</w:t>
      </w:r>
    </w:p>
    <w:p w14:paraId="6C160F67">
      <w:pPr>
        <w:numPr>
          <w:ilvl w:val="0"/>
          <w:numId w:val="18"/>
        </w:numPr>
        <w:spacing w:before="170" w:line="539" w:lineRule="exact"/>
        <w:jc w:val="center"/>
        <w:rPr>
          <w:rFonts w:hint="eastAsia" w:ascii="宋体" w:hAnsi="宋体" w:eastAsia="宋体" w:cs="宋体"/>
          <w:spacing w:val="7"/>
          <w:position w:val="16"/>
          <w:sz w:val="24"/>
          <w:szCs w:val="24"/>
          <w:highlight w:val="none"/>
        </w:rPr>
      </w:pPr>
      <w:r>
        <w:rPr>
          <w:rFonts w:hint="eastAsia" w:ascii="宋体" w:hAnsi="宋体" w:eastAsia="宋体" w:cs="宋体"/>
          <w:spacing w:val="7"/>
          <w:position w:val="16"/>
          <w:sz w:val="24"/>
          <w:szCs w:val="24"/>
          <w:highlight w:val="none"/>
        </w:rPr>
        <w:t xml:space="preserve"> 考核标准与内容 </w:t>
      </w:r>
    </w:p>
    <w:p w14:paraId="4646DA97">
      <w:pPr>
        <w:rPr>
          <w:rFonts w:hint="eastAsia" w:ascii="宋体" w:hAnsi="宋体" w:eastAsia="宋体" w:cs="宋体"/>
          <w:b/>
          <w:bCs/>
          <w:sz w:val="24"/>
          <w:szCs w:val="24"/>
          <w:highlight w:val="none"/>
        </w:rPr>
      </w:pPr>
    </w:p>
    <w:p w14:paraId="4F8D8768">
      <w:pPr>
        <w:spacing w:line="560" w:lineRule="exact"/>
        <w:ind w:firstLine="480" w:firstLineChars="20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第五条  考核标准</w:t>
      </w:r>
    </w:p>
    <w:p w14:paraId="0BF26B72">
      <w:pPr>
        <w:spacing w:line="5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草堂街道</w:t>
      </w:r>
      <w:r>
        <w:rPr>
          <w:rFonts w:hint="eastAsia" w:ascii="宋体" w:hAnsi="宋体" w:eastAsia="宋体" w:cs="宋体"/>
          <w:sz w:val="24"/>
          <w:szCs w:val="24"/>
          <w:highlight w:val="none"/>
        </w:rPr>
        <w:t>绿</w:t>
      </w:r>
      <w:r>
        <w:rPr>
          <w:rFonts w:hint="eastAsia" w:ascii="宋体" w:hAnsi="宋体" w:eastAsia="宋体" w:cs="宋体"/>
          <w:sz w:val="24"/>
          <w:szCs w:val="24"/>
          <w:highlight w:val="none"/>
          <w:lang w:eastAsia="zh-CN"/>
        </w:rPr>
        <w:t>化</w:t>
      </w:r>
      <w:r>
        <w:rPr>
          <w:rFonts w:hint="eastAsia" w:ascii="宋体" w:hAnsi="宋体" w:eastAsia="宋体" w:cs="宋体"/>
          <w:sz w:val="24"/>
          <w:szCs w:val="24"/>
          <w:highlight w:val="none"/>
        </w:rPr>
        <w:t>养护管理考核按照有关标准执行：</w:t>
      </w:r>
    </w:p>
    <w:p w14:paraId="09F20790">
      <w:pPr>
        <w:spacing w:line="5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（一）《西安市城市绿化条例》；</w:t>
      </w:r>
    </w:p>
    <w:p w14:paraId="2CDAE900">
      <w:pPr>
        <w:spacing w:line="5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（二）《园林绿化养护标准》CJJT287-2018；</w:t>
      </w:r>
    </w:p>
    <w:p w14:paraId="3AD14AA9">
      <w:pPr>
        <w:spacing w:line="5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（三）《</w:t>
      </w:r>
      <w:r>
        <w:rPr>
          <w:rFonts w:hint="eastAsia" w:ascii="宋体" w:hAnsi="宋体" w:eastAsia="宋体" w:cs="宋体"/>
          <w:sz w:val="24"/>
          <w:szCs w:val="24"/>
          <w:highlight w:val="none"/>
          <w:lang w:eastAsia="zh-CN"/>
        </w:rPr>
        <w:t>西安</w:t>
      </w:r>
      <w:r>
        <w:rPr>
          <w:rFonts w:hint="eastAsia" w:ascii="宋体" w:hAnsi="宋体" w:eastAsia="宋体" w:cs="宋体"/>
          <w:sz w:val="24"/>
          <w:szCs w:val="24"/>
          <w:highlight w:val="none"/>
        </w:rPr>
        <w:t>高新区城市精细化管理标准(试行)》。</w:t>
      </w:r>
    </w:p>
    <w:p w14:paraId="7050D34B">
      <w:pPr>
        <w:spacing w:line="560" w:lineRule="exact"/>
        <w:ind w:firstLine="480" w:firstLineChars="20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第六条  考核内容</w:t>
      </w:r>
    </w:p>
    <w:p w14:paraId="354FAB9C">
      <w:pPr>
        <w:spacing w:line="5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草堂街道绿化</w:t>
      </w:r>
      <w:r>
        <w:rPr>
          <w:rFonts w:hint="eastAsia" w:ascii="宋体" w:hAnsi="宋体" w:eastAsia="宋体" w:cs="宋体"/>
          <w:sz w:val="24"/>
          <w:szCs w:val="24"/>
          <w:highlight w:val="none"/>
        </w:rPr>
        <w:t>养护考核以主次干道、</w:t>
      </w:r>
      <w:r>
        <w:rPr>
          <w:rFonts w:hint="eastAsia" w:ascii="宋体" w:hAnsi="宋体" w:eastAsia="宋体" w:cs="宋体"/>
          <w:sz w:val="24"/>
          <w:szCs w:val="24"/>
          <w:highlight w:val="none"/>
          <w:lang w:val="en-US" w:eastAsia="zh-CN"/>
        </w:rPr>
        <w:t>重点</w:t>
      </w:r>
      <w:r>
        <w:rPr>
          <w:rFonts w:hint="eastAsia" w:ascii="宋体" w:hAnsi="宋体" w:eastAsia="宋体" w:cs="宋体"/>
          <w:sz w:val="24"/>
          <w:szCs w:val="24"/>
          <w:highlight w:val="none"/>
        </w:rPr>
        <w:t>区域、</w:t>
      </w:r>
      <w:r>
        <w:rPr>
          <w:rFonts w:hint="eastAsia" w:ascii="宋体" w:hAnsi="宋体" w:eastAsia="宋体" w:cs="宋体"/>
          <w:sz w:val="24"/>
          <w:szCs w:val="24"/>
          <w:highlight w:val="none"/>
          <w:lang w:val="en-US" w:eastAsia="zh-CN"/>
        </w:rPr>
        <w:t>关键</w:t>
      </w:r>
      <w:r>
        <w:rPr>
          <w:rFonts w:hint="eastAsia" w:ascii="宋体" w:hAnsi="宋体" w:eastAsia="宋体" w:cs="宋体"/>
          <w:sz w:val="24"/>
          <w:szCs w:val="24"/>
          <w:highlight w:val="none"/>
        </w:rPr>
        <w:t>节点和主要场所为</w:t>
      </w:r>
      <w:r>
        <w:rPr>
          <w:rFonts w:hint="eastAsia" w:ascii="宋体" w:hAnsi="宋体" w:eastAsia="宋体" w:cs="宋体"/>
          <w:sz w:val="24"/>
          <w:szCs w:val="24"/>
          <w:highlight w:val="none"/>
          <w:lang w:val="en-US" w:eastAsia="zh-CN"/>
        </w:rPr>
        <w:t>核心</w:t>
      </w:r>
      <w:r>
        <w:rPr>
          <w:rFonts w:hint="eastAsia" w:ascii="宋体" w:hAnsi="宋体" w:eastAsia="宋体" w:cs="宋体"/>
          <w:sz w:val="24"/>
          <w:szCs w:val="24"/>
          <w:highlight w:val="none"/>
        </w:rPr>
        <w:t>，对道路绿化管理养护</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安全管理、舆情管控以及执行落实有关制度要求情况进行考核。</w:t>
      </w:r>
    </w:p>
    <w:p w14:paraId="53062270">
      <w:pPr>
        <w:spacing w:line="5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（一）道路绿化管理养护。</w:t>
      </w:r>
      <w:r>
        <w:rPr>
          <w:rFonts w:hint="eastAsia" w:ascii="宋体" w:hAnsi="宋体" w:eastAsia="宋体" w:cs="宋体"/>
          <w:sz w:val="24"/>
          <w:szCs w:val="24"/>
          <w:highlight w:val="none"/>
          <w:lang w:val="en-US" w:eastAsia="zh-CN"/>
        </w:rPr>
        <w:t>主要</w:t>
      </w:r>
      <w:r>
        <w:rPr>
          <w:rFonts w:hint="eastAsia" w:ascii="宋体" w:hAnsi="宋体" w:eastAsia="宋体" w:cs="宋体"/>
          <w:sz w:val="24"/>
          <w:szCs w:val="24"/>
          <w:highlight w:val="none"/>
        </w:rPr>
        <w:t>考核整形修剪、乔灌木和花卉养护、病虫害防治、浇水施肥</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绿化带清掏以及设施维护等工作情况。</w:t>
      </w:r>
    </w:p>
    <w:p w14:paraId="0ED70590">
      <w:pPr>
        <w:spacing w:line="5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二</w:t>
      </w:r>
      <w:r>
        <w:rPr>
          <w:rFonts w:hint="eastAsia" w:ascii="宋体" w:hAnsi="宋体" w:eastAsia="宋体" w:cs="宋体"/>
          <w:sz w:val="24"/>
          <w:szCs w:val="24"/>
          <w:highlight w:val="none"/>
        </w:rPr>
        <w:t>）安全管理。主要考核安全制度的制定落实、安全保障措施的健全完善，以及安全问题的处理处置情况。</w:t>
      </w:r>
    </w:p>
    <w:p w14:paraId="42170C83">
      <w:pPr>
        <w:spacing w:line="5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三</w:t>
      </w:r>
      <w:r>
        <w:rPr>
          <w:rFonts w:hint="eastAsia" w:ascii="宋体" w:hAnsi="宋体" w:eastAsia="宋体" w:cs="宋体"/>
          <w:sz w:val="24"/>
          <w:szCs w:val="24"/>
          <w:highlight w:val="none"/>
        </w:rPr>
        <w:t>）舆情管控。主要考核舆情信息通报、群众投诉、媒体 披露问题、城市服务热线转办线索等情况的接收、处置及整改情况。</w:t>
      </w:r>
    </w:p>
    <w:p w14:paraId="33E61DC1">
      <w:pPr>
        <w:spacing w:line="5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四</w:t>
      </w:r>
      <w:r>
        <w:rPr>
          <w:rFonts w:hint="eastAsia" w:ascii="宋体" w:hAnsi="宋体" w:eastAsia="宋体" w:cs="宋体"/>
          <w:sz w:val="24"/>
          <w:szCs w:val="24"/>
          <w:highlight w:val="none"/>
        </w:rPr>
        <w:t>）有关制度执行落实情况。</w:t>
      </w:r>
    </w:p>
    <w:p w14:paraId="2B63A9BA">
      <w:pPr>
        <w:spacing w:line="5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1.《西安市开展城市清洁行动提升城市精细化管理工作</w:t>
      </w:r>
    </w:p>
    <w:p w14:paraId="264BD10A">
      <w:pPr>
        <w:spacing w:line="56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水平实施方案》(市城管委发〔2023〕2号)落实情况。</w:t>
      </w:r>
    </w:p>
    <w:p w14:paraId="71FD0CCA">
      <w:pPr>
        <w:spacing w:line="5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2.贯彻落实《西安市城管系统再生水利用配置试点工作方案》(市城管发〔2022〕125号)有关要求，开展再生水利用试点等工作情况。</w:t>
      </w:r>
    </w:p>
    <w:p w14:paraId="4A077420">
      <w:pPr>
        <w:spacing w:line="5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3.贯彻落实《关于进一步加强绿化养护作业领域交通安全隐患排查整治的通知》精神，结合春夏季精细化管理工作要求，进一步加强对存在安全隐患树木的修剪工作等情况。</w:t>
      </w:r>
    </w:p>
    <w:p w14:paraId="5C104447">
      <w:pPr>
        <w:spacing w:line="56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4.其它与城市绿地管理养护相关的政策或文件。</w:t>
      </w:r>
    </w:p>
    <w:p w14:paraId="36B6A4E0">
      <w:pPr>
        <w:pStyle w:val="3"/>
        <w:spacing w:line="56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第三章  考核方式</w:t>
      </w:r>
    </w:p>
    <w:p w14:paraId="4E21DCB7">
      <w:pPr>
        <w:numPr>
          <w:ilvl w:val="0"/>
          <w:numId w:val="19"/>
        </w:numPr>
        <w:spacing w:line="560" w:lineRule="exact"/>
        <w:ind w:left="0" w:leftChars="0" w:firstLine="480" w:firstLineChars="20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 考核</w:t>
      </w:r>
      <w:r>
        <w:rPr>
          <w:rFonts w:hint="eastAsia" w:ascii="宋体" w:hAnsi="宋体" w:eastAsia="宋体" w:cs="宋体"/>
          <w:b w:val="0"/>
          <w:bCs w:val="0"/>
          <w:sz w:val="24"/>
          <w:szCs w:val="24"/>
          <w:highlight w:val="none"/>
          <w:lang w:val="en-US" w:eastAsia="zh-CN"/>
        </w:rPr>
        <w:t>方法</w:t>
      </w:r>
    </w:p>
    <w:p w14:paraId="0EB62E25">
      <w:pPr>
        <w:widowControl/>
        <w:spacing w:line="560" w:lineRule="exact"/>
        <w:ind w:firstLine="480" w:firstLineChars="200"/>
        <w:jc w:val="left"/>
        <w:rPr>
          <w:rFonts w:hint="eastAsia" w:ascii="宋体" w:hAnsi="宋体" w:eastAsia="宋体" w:cs="宋体"/>
          <w:bCs/>
          <w:kern w:val="0"/>
          <w:sz w:val="24"/>
          <w:szCs w:val="24"/>
          <w:highlight w:val="none"/>
        </w:rPr>
      </w:pPr>
      <w:r>
        <w:rPr>
          <w:rFonts w:hint="eastAsia" w:ascii="宋体" w:hAnsi="宋体" w:eastAsia="宋体" w:cs="宋体"/>
          <w:bCs/>
          <w:kern w:val="0"/>
          <w:sz w:val="24"/>
          <w:szCs w:val="24"/>
          <w:highlight w:val="none"/>
          <w:lang w:eastAsia="zh-CN"/>
        </w:rPr>
        <w:t>草堂街道绿化</w:t>
      </w:r>
      <w:r>
        <w:rPr>
          <w:rFonts w:hint="eastAsia" w:ascii="宋体" w:hAnsi="宋体" w:eastAsia="宋体" w:cs="宋体"/>
          <w:bCs/>
          <w:kern w:val="0"/>
          <w:sz w:val="24"/>
          <w:szCs w:val="24"/>
          <w:highlight w:val="none"/>
        </w:rPr>
        <w:t>养护考核通过以定期考核为主，并辅以不定期考核的方式开展。</w:t>
      </w:r>
    </w:p>
    <w:p w14:paraId="2D2BE396">
      <w:pPr>
        <w:pStyle w:val="3"/>
        <w:spacing w:line="560" w:lineRule="exact"/>
        <w:ind w:firstLine="63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定期考核以月为周期进行</w:t>
      </w:r>
      <w:r>
        <w:rPr>
          <w:rFonts w:hint="eastAsia" w:ascii="宋体" w:hAnsi="宋体" w:eastAsia="宋体" w:cs="宋体"/>
          <w:sz w:val="24"/>
          <w:szCs w:val="24"/>
          <w:highlight w:val="none"/>
          <w:lang w:eastAsia="zh-CN"/>
        </w:rPr>
        <w:t>计量</w:t>
      </w:r>
      <w:r>
        <w:rPr>
          <w:rFonts w:hint="eastAsia" w:ascii="宋体" w:hAnsi="宋体" w:eastAsia="宋体" w:cs="宋体"/>
          <w:sz w:val="24"/>
          <w:szCs w:val="24"/>
          <w:highlight w:val="none"/>
        </w:rPr>
        <w:t>考核，</w:t>
      </w:r>
      <w:r>
        <w:rPr>
          <w:rFonts w:hint="eastAsia" w:ascii="宋体" w:hAnsi="宋体" w:eastAsia="宋体" w:cs="宋体"/>
          <w:sz w:val="24"/>
          <w:szCs w:val="24"/>
          <w:highlight w:val="none"/>
          <w:lang w:eastAsia="zh-CN"/>
        </w:rPr>
        <w:t>按照</w:t>
      </w:r>
      <w:r>
        <w:rPr>
          <w:rFonts w:hint="eastAsia" w:ascii="宋体" w:hAnsi="宋体" w:eastAsia="宋体" w:cs="宋体"/>
          <w:sz w:val="24"/>
          <w:szCs w:val="24"/>
          <w:highlight w:val="none"/>
          <w:lang w:val="en-US" w:eastAsia="zh-CN"/>
        </w:rPr>
        <w:t>草堂街道绿化养护管理项目考评标准及得分统计表每月开展一次打分</w:t>
      </w:r>
      <w:r>
        <w:rPr>
          <w:rFonts w:hint="eastAsia" w:ascii="宋体" w:hAnsi="宋体" w:eastAsia="宋体" w:cs="宋体"/>
          <w:sz w:val="24"/>
          <w:szCs w:val="24"/>
          <w:highlight w:val="none"/>
          <w:lang w:eastAsia="zh-CN"/>
        </w:rPr>
        <w:t>；打分情况作为支付服务费的依据</w:t>
      </w:r>
      <w:r>
        <w:rPr>
          <w:rFonts w:hint="eastAsia" w:ascii="宋体" w:hAnsi="宋体" w:eastAsia="宋体" w:cs="宋体"/>
          <w:sz w:val="24"/>
          <w:szCs w:val="24"/>
          <w:highlight w:val="none"/>
        </w:rPr>
        <w:t>。</w:t>
      </w:r>
    </w:p>
    <w:p w14:paraId="3B9E7E28">
      <w:pPr>
        <w:numPr>
          <w:ilvl w:val="0"/>
          <w:numId w:val="20"/>
        </w:numPr>
        <w:spacing w:line="560" w:lineRule="exact"/>
        <w:ind w:right="175"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计量</w:t>
      </w:r>
      <w:r>
        <w:rPr>
          <w:rFonts w:hint="eastAsia" w:ascii="宋体" w:hAnsi="宋体" w:eastAsia="宋体" w:cs="宋体"/>
          <w:sz w:val="24"/>
          <w:szCs w:val="24"/>
          <w:highlight w:val="none"/>
        </w:rPr>
        <w:t>考核。</w:t>
      </w:r>
    </w:p>
    <w:p w14:paraId="2AEDB337">
      <w:pPr>
        <w:numPr>
          <w:ilvl w:val="0"/>
          <w:numId w:val="0"/>
        </w:numPr>
        <w:spacing w:line="560" w:lineRule="exact"/>
        <w:ind w:right="175" w:rightChars="0" w:firstLine="480" w:firstLineChars="200"/>
        <w:rPr>
          <w:rFonts w:hint="eastAsia" w:ascii="宋体" w:hAnsi="宋体" w:eastAsia="宋体" w:cs="宋体"/>
          <w:bCs/>
          <w:kern w:val="0"/>
          <w:sz w:val="24"/>
          <w:szCs w:val="24"/>
          <w:highlight w:val="none"/>
        </w:rPr>
      </w:pPr>
      <w:r>
        <w:rPr>
          <w:rFonts w:hint="eastAsia" w:ascii="宋体" w:hAnsi="宋体" w:eastAsia="宋体" w:cs="宋体"/>
          <w:bCs/>
          <w:kern w:val="0"/>
          <w:sz w:val="24"/>
          <w:szCs w:val="24"/>
          <w:highlight w:val="none"/>
        </w:rPr>
        <w:t>1.养护单位</w:t>
      </w:r>
      <w:r>
        <w:rPr>
          <w:rFonts w:hint="eastAsia" w:ascii="宋体" w:hAnsi="宋体" w:eastAsia="宋体" w:cs="宋体"/>
          <w:bCs/>
          <w:kern w:val="0"/>
          <w:sz w:val="24"/>
          <w:szCs w:val="24"/>
          <w:highlight w:val="none"/>
          <w:lang w:val="en-US" w:eastAsia="zh-CN"/>
        </w:rPr>
        <w:t>上月25日</w:t>
      </w:r>
      <w:r>
        <w:rPr>
          <w:rFonts w:hint="eastAsia" w:ascii="宋体" w:hAnsi="宋体" w:eastAsia="宋体" w:cs="宋体"/>
          <w:bCs/>
          <w:kern w:val="0"/>
          <w:sz w:val="24"/>
          <w:szCs w:val="24"/>
          <w:highlight w:val="none"/>
        </w:rPr>
        <w:t>向</w:t>
      </w:r>
      <w:r>
        <w:rPr>
          <w:rFonts w:hint="eastAsia" w:ascii="宋体" w:hAnsi="宋体" w:eastAsia="宋体" w:cs="宋体"/>
          <w:bCs/>
          <w:kern w:val="0"/>
          <w:sz w:val="24"/>
          <w:szCs w:val="24"/>
          <w:highlight w:val="none"/>
          <w:lang w:eastAsia="zh-CN"/>
        </w:rPr>
        <w:t>草堂街道绿化主管部门</w:t>
      </w:r>
      <w:r>
        <w:rPr>
          <w:rFonts w:hint="eastAsia" w:ascii="宋体" w:hAnsi="宋体" w:eastAsia="宋体" w:cs="宋体"/>
          <w:bCs/>
          <w:kern w:val="0"/>
          <w:sz w:val="24"/>
          <w:szCs w:val="24"/>
          <w:highlight w:val="none"/>
        </w:rPr>
        <w:t>报送次月管理养护工作计划（以下简称“月度工作计划”）；</w:t>
      </w:r>
    </w:p>
    <w:p w14:paraId="5791EBEF">
      <w:pPr>
        <w:widowControl/>
        <w:spacing w:line="560" w:lineRule="exact"/>
        <w:ind w:firstLine="480" w:firstLineChars="200"/>
        <w:jc w:val="left"/>
        <w:rPr>
          <w:rFonts w:hint="eastAsia" w:ascii="宋体" w:hAnsi="宋体" w:eastAsia="宋体" w:cs="宋体"/>
          <w:bCs/>
          <w:kern w:val="0"/>
          <w:sz w:val="24"/>
          <w:szCs w:val="24"/>
          <w:highlight w:val="none"/>
        </w:rPr>
      </w:pPr>
      <w:r>
        <w:rPr>
          <w:rFonts w:hint="eastAsia" w:ascii="宋体" w:hAnsi="宋体" w:eastAsia="宋体" w:cs="宋体"/>
          <w:bCs/>
          <w:kern w:val="0"/>
          <w:sz w:val="24"/>
          <w:szCs w:val="24"/>
          <w:highlight w:val="none"/>
        </w:rPr>
        <w:t>2.</w:t>
      </w:r>
      <w:r>
        <w:rPr>
          <w:rFonts w:hint="eastAsia" w:ascii="宋体" w:hAnsi="宋体" w:eastAsia="宋体" w:cs="宋体"/>
          <w:bCs/>
          <w:kern w:val="0"/>
          <w:sz w:val="24"/>
          <w:szCs w:val="24"/>
          <w:highlight w:val="none"/>
          <w:lang w:eastAsia="zh-CN"/>
        </w:rPr>
        <w:t>草堂街道绿化主管部门</w:t>
      </w:r>
      <w:r>
        <w:rPr>
          <w:rFonts w:hint="eastAsia" w:ascii="宋体" w:hAnsi="宋体" w:eastAsia="宋体" w:cs="宋体"/>
          <w:bCs/>
          <w:kern w:val="0"/>
          <w:sz w:val="24"/>
          <w:szCs w:val="24"/>
          <w:highlight w:val="none"/>
        </w:rPr>
        <w:t>审核月度工作计划，结合实际建立各养护单位月度养护任务清单；</w:t>
      </w:r>
    </w:p>
    <w:p w14:paraId="1F59B2E8">
      <w:pPr>
        <w:widowControl/>
        <w:spacing w:line="560" w:lineRule="exact"/>
        <w:ind w:firstLine="480" w:firstLineChars="200"/>
        <w:jc w:val="left"/>
        <w:rPr>
          <w:rFonts w:hint="eastAsia" w:ascii="宋体" w:hAnsi="宋体" w:eastAsia="宋体" w:cs="宋体"/>
          <w:bCs/>
          <w:kern w:val="0"/>
          <w:sz w:val="24"/>
          <w:szCs w:val="24"/>
          <w:highlight w:val="none"/>
        </w:rPr>
      </w:pPr>
      <w:r>
        <w:rPr>
          <w:rFonts w:hint="eastAsia" w:ascii="宋体" w:hAnsi="宋体" w:eastAsia="宋体" w:cs="宋体"/>
          <w:bCs/>
          <w:kern w:val="0"/>
          <w:sz w:val="24"/>
          <w:szCs w:val="24"/>
          <w:highlight w:val="none"/>
        </w:rPr>
        <w:t>3.</w:t>
      </w:r>
      <w:r>
        <w:rPr>
          <w:rFonts w:hint="eastAsia" w:ascii="宋体" w:hAnsi="宋体" w:eastAsia="宋体" w:cs="宋体"/>
          <w:bCs/>
          <w:kern w:val="0"/>
          <w:sz w:val="24"/>
          <w:szCs w:val="24"/>
          <w:highlight w:val="none"/>
          <w:lang w:eastAsia="zh-CN"/>
        </w:rPr>
        <w:t>草堂街道绿化主管部门</w:t>
      </w:r>
      <w:r>
        <w:rPr>
          <w:rFonts w:hint="eastAsia" w:ascii="宋体" w:hAnsi="宋体" w:eastAsia="宋体" w:cs="宋体"/>
          <w:bCs/>
          <w:kern w:val="0"/>
          <w:sz w:val="24"/>
          <w:szCs w:val="24"/>
          <w:highlight w:val="none"/>
        </w:rPr>
        <w:t>对照月度养护任务清单，在日常工作中对各养护单位进行监督检查，并按照《草堂街道绿化养护管理项目考评标准及得分统计表》（附件</w:t>
      </w:r>
      <w:r>
        <w:rPr>
          <w:rFonts w:hint="eastAsia" w:ascii="宋体" w:hAnsi="宋体" w:eastAsia="宋体" w:cs="宋体"/>
          <w:bCs/>
          <w:kern w:val="0"/>
          <w:sz w:val="24"/>
          <w:szCs w:val="24"/>
          <w:highlight w:val="none"/>
          <w:lang w:val="en-US" w:eastAsia="zh-CN"/>
        </w:rPr>
        <w:t>1</w:t>
      </w:r>
      <w:r>
        <w:rPr>
          <w:rFonts w:hint="eastAsia" w:ascii="宋体" w:hAnsi="宋体" w:eastAsia="宋体" w:cs="宋体"/>
          <w:bCs/>
          <w:kern w:val="0"/>
          <w:sz w:val="24"/>
          <w:szCs w:val="24"/>
          <w:highlight w:val="none"/>
        </w:rPr>
        <w:t>）进行考核打分。</w:t>
      </w:r>
    </w:p>
    <w:p w14:paraId="0CBCB8D5">
      <w:pPr>
        <w:widowControl/>
        <w:spacing w:line="560" w:lineRule="exact"/>
        <w:ind w:firstLine="480" w:firstLineChars="200"/>
        <w:jc w:val="left"/>
        <w:rPr>
          <w:rFonts w:hint="eastAsia" w:ascii="宋体" w:hAnsi="宋体" w:eastAsia="宋体" w:cs="宋体"/>
          <w:bCs/>
          <w:kern w:val="0"/>
          <w:sz w:val="24"/>
          <w:szCs w:val="24"/>
          <w:highlight w:val="none"/>
        </w:rPr>
      </w:pPr>
      <w:r>
        <w:rPr>
          <w:rFonts w:hint="eastAsia" w:ascii="宋体" w:hAnsi="宋体" w:eastAsia="宋体" w:cs="宋体"/>
          <w:bCs/>
          <w:kern w:val="0"/>
          <w:sz w:val="24"/>
          <w:szCs w:val="24"/>
          <w:highlight w:val="none"/>
        </w:rPr>
        <w:t>（三）考核得分</w:t>
      </w:r>
      <w:r>
        <w:rPr>
          <w:rFonts w:hint="eastAsia" w:ascii="宋体" w:hAnsi="宋体" w:eastAsia="宋体" w:cs="宋体"/>
          <w:bCs/>
          <w:kern w:val="0"/>
          <w:sz w:val="24"/>
          <w:szCs w:val="24"/>
          <w:highlight w:val="none"/>
          <w:lang w:eastAsia="zh-CN"/>
        </w:rPr>
        <w:t>关联</w:t>
      </w:r>
      <w:r>
        <w:rPr>
          <w:rFonts w:hint="eastAsia" w:ascii="宋体" w:hAnsi="宋体" w:eastAsia="宋体" w:cs="宋体"/>
          <w:bCs/>
          <w:kern w:val="0"/>
          <w:sz w:val="24"/>
          <w:szCs w:val="24"/>
          <w:highlight w:val="none"/>
        </w:rPr>
        <w:t>养护费用计算方式。</w:t>
      </w:r>
    </w:p>
    <w:p w14:paraId="6A5B9F8B">
      <w:pPr>
        <w:pStyle w:val="26"/>
        <w:spacing w:line="560" w:lineRule="exact"/>
        <w:ind w:firstLine="480" w:firstLineChars="200"/>
        <w:jc w:val="left"/>
        <w:rPr>
          <w:rFonts w:hint="eastAsia" w:ascii="宋体" w:hAnsi="宋体" w:eastAsia="宋体" w:cs="宋体"/>
          <w:bCs/>
          <w:kern w:val="0"/>
          <w:sz w:val="24"/>
          <w:szCs w:val="24"/>
          <w:highlight w:val="none"/>
          <w:lang w:val="en-US" w:eastAsia="zh-CN"/>
        </w:rPr>
      </w:pPr>
      <w:r>
        <w:rPr>
          <w:rFonts w:hint="eastAsia" w:ascii="宋体" w:hAnsi="宋体" w:eastAsia="宋体" w:cs="宋体"/>
          <w:bCs/>
          <w:kern w:val="0"/>
          <w:sz w:val="24"/>
          <w:szCs w:val="24"/>
          <w:highlight w:val="none"/>
          <w:lang w:val="en-US" w:eastAsia="zh-CN"/>
        </w:rPr>
        <w:t>考核分值80分以上为合格，</w:t>
      </w:r>
      <w:r>
        <w:rPr>
          <w:rFonts w:hint="eastAsia" w:ascii="宋体" w:hAnsi="宋体" w:eastAsia="宋体" w:cs="宋体"/>
          <w:kern w:val="2"/>
          <w:sz w:val="24"/>
          <w:szCs w:val="24"/>
          <w:highlight w:val="none"/>
          <w:lang w:val="en-US" w:eastAsia="zh-CN" w:bidi="ar-SA"/>
        </w:rPr>
        <w:t>按照考核减分项，每分扣除200元。</w:t>
      </w:r>
      <w:r>
        <w:rPr>
          <w:rFonts w:hint="eastAsia" w:ascii="宋体" w:hAnsi="宋体" w:eastAsia="宋体" w:cs="宋体"/>
          <w:bCs/>
          <w:kern w:val="0"/>
          <w:sz w:val="24"/>
          <w:szCs w:val="24"/>
          <w:highlight w:val="none"/>
          <w:lang w:val="en-US" w:eastAsia="zh-CN"/>
        </w:rPr>
        <w:t>每降低合格线1分，扣除当月全额承包费的1%，扣减至月全额管理费用60%时停止扣除计算，计算所得金额为当月管理服务费用。</w:t>
      </w:r>
    </w:p>
    <w:p w14:paraId="152FA7E4">
      <w:pPr>
        <w:pStyle w:val="26"/>
        <w:spacing w:line="560" w:lineRule="exact"/>
        <w:ind w:firstLine="480" w:firstLineChars="200"/>
        <w:jc w:val="left"/>
        <w:rPr>
          <w:rFonts w:hint="eastAsia" w:ascii="宋体" w:hAnsi="宋体" w:eastAsia="宋体" w:cs="宋体"/>
          <w:bCs/>
          <w:kern w:val="0"/>
          <w:sz w:val="24"/>
          <w:szCs w:val="24"/>
          <w:highlight w:val="none"/>
          <w:lang w:val="en-US" w:eastAsia="zh-CN"/>
        </w:rPr>
      </w:pPr>
      <w:r>
        <w:rPr>
          <w:rFonts w:hint="eastAsia" w:ascii="宋体" w:hAnsi="宋体" w:eastAsia="宋体" w:cs="宋体"/>
          <w:bCs/>
          <w:kern w:val="0"/>
          <w:sz w:val="24"/>
          <w:szCs w:val="24"/>
          <w:highlight w:val="none"/>
        </w:rPr>
        <w:t>（详见附件</w:t>
      </w:r>
      <w:r>
        <w:rPr>
          <w:rFonts w:hint="eastAsia" w:ascii="宋体" w:hAnsi="宋体" w:eastAsia="宋体" w:cs="宋体"/>
          <w:bCs/>
          <w:kern w:val="0"/>
          <w:sz w:val="24"/>
          <w:szCs w:val="24"/>
          <w:highlight w:val="none"/>
          <w:lang w:val="en-US" w:eastAsia="zh-CN"/>
        </w:rPr>
        <w:t>2</w:t>
      </w:r>
      <w:r>
        <w:rPr>
          <w:rFonts w:hint="eastAsia" w:ascii="宋体" w:hAnsi="宋体" w:eastAsia="宋体" w:cs="宋体"/>
          <w:bCs/>
          <w:kern w:val="0"/>
          <w:sz w:val="24"/>
          <w:szCs w:val="24"/>
          <w:highlight w:val="none"/>
        </w:rPr>
        <w:t>《</w:t>
      </w:r>
      <w:r>
        <w:rPr>
          <w:rFonts w:hint="eastAsia" w:ascii="宋体" w:hAnsi="宋体" w:eastAsia="宋体" w:cs="宋体"/>
          <w:bCs/>
          <w:kern w:val="0"/>
          <w:sz w:val="24"/>
          <w:szCs w:val="24"/>
          <w:highlight w:val="none"/>
          <w:lang w:eastAsia="zh-CN"/>
        </w:rPr>
        <w:t>草堂街道</w:t>
      </w:r>
      <w:r>
        <w:rPr>
          <w:rFonts w:hint="eastAsia" w:ascii="宋体" w:hAnsi="宋体" w:eastAsia="宋体" w:cs="宋体"/>
          <w:bCs/>
          <w:kern w:val="0"/>
          <w:sz w:val="24"/>
          <w:szCs w:val="24"/>
          <w:highlight w:val="none"/>
        </w:rPr>
        <w:t>绿化养护管理项目养护费用结算单》）</w:t>
      </w:r>
    </w:p>
    <w:p w14:paraId="7960D45B">
      <w:pPr>
        <w:numPr>
          <w:ilvl w:val="0"/>
          <w:numId w:val="19"/>
        </w:numPr>
        <w:spacing w:line="560" w:lineRule="exact"/>
        <w:ind w:left="0" w:leftChars="0" w:firstLine="480" w:firstLineChars="20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考核形式</w:t>
      </w:r>
    </w:p>
    <w:p w14:paraId="77D1348E">
      <w:pPr>
        <w:spacing w:line="560" w:lineRule="exact"/>
        <w:ind w:right="175" w:firstLine="64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草堂街道绿化主管部门以明查或者暗访的方式开展</w:t>
      </w:r>
      <w:r>
        <w:rPr>
          <w:rFonts w:hint="eastAsia" w:ascii="宋体" w:hAnsi="宋体" w:eastAsia="宋体" w:cs="宋体"/>
          <w:bCs/>
          <w:kern w:val="0"/>
          <w:sz w:val="24"/>
          <w:szCs w:val="24"/>
          <w:highlight w:val="none"/>
          <w:lang w:val="en-US" w:eastAsia="zh-CN"/>
        </w:rPr>
        <w:t>成效</w:t>
      </w:r>
      <w:r>
        <w:rPr>
          <w:rFonts w:hint="eastAsia" w:ascii="宋体" w:hAnsi="宋体" w:eastAsia="宋体" w:cs="宋体"/>
          <w:bCs/>
          <w:kern w:val="0"/>
          <w:sz w:val="24"/>
          <w:szCs w:val="24"/>
          <w:highlight w:val="none"/>
        </w:rPr>
        <w:t>考核</w:t>
      </w:r>
      <w:r>
        <w:rPr>
          <w:rFonts w:hint="eastAsia" w:ascii="宋体" w:hAnsi="宋体" w:eastAsia="宋体" w:cs="宋体"/>
          <w:bCs/>
          <w:kern w:val="0"/>
          <w:sz w:val="24"/>
          <w:szCs w:val="24"/>
          <w:highlight w:val="none"/>
          <w:lang w:val="en-US" w:eastAsia="zh-CN"/>
        </w:rPr>
        <w:t>工作；</w:t>
      </w:r>
    </w:p>
    <w:p w14:paraId="11D8B45C">
      <w:pPr>
        <w:numPr>
          <w:ilvl w:val="0"/>
          <w:numId w:val="19"/>
        </w:numPr>
        <w:spacing w:line="560" w:lineRule="exact"/>
        <w:ind w:left="0" w:leftChars="0" w:firstLine="480" w:firstLineChars="200"/>
        <w:rPr>
          <w:rFonts w:hint="eastAsia" w:ascii="宋体" w:hAnsi="宋体" w:eastAsia="宋体" w:cs="宋体"/>
          <w:bCs/>
          <w:kern w:val="0"/>
          <w:sz w:val="24"/>
          <w:szCs w:val="24"/>
          <w:highlight w:val="none"/>
        </w:rPr>
      </w:pPr>
      <w:r>
        <w:rPr>
          <w:rFonts w:hint="eastAsia" w:ascii="宋体" w:hAnsi="宋体" w:eastAsia="宋体" w:cs="宋体"/>
          <w:bCs/>
          <w:kern w:val="0"/>
          <w:sz w:val="24"/>
          <w:szCs w:val="24"/>
          <w:highlight w:val="none"/>
        </w:rPr>
        <w:t>本</w:t>
      </w:r>
      <w:r>
        <w:rPr>
          <w:rFonts w:hint="eastAsia" w:ascii="宋体" w:hAnsi="宋体" w:eastAsia="宋体" w:cs="宋体"/>
          <w:bCs/>
          <w:kern w:val="0"/>
          <w:sz w:val="24"/>
          <w:szCs w:val="24"/>
          <w:highlight w:val="none"/>
          <w:lang w:val="en-US" w:eastAsia="zh-CN"/>
        </w:rPr>
        <w:t>月</w:t>
      </w:r>
      <w:r>
        <w:rPr>
          <w:rFonts w:hint="eastAsia" w:ascii="宋体" w:hAnsi="宋体" w:eastAsia="宋体" w:cs="宋体"/>
          <w:bCs/>
          <w:kern w:val="0"/>
          <w:sz w:val="24"/>
          <w:szCs w:val="24"/>
          <w:highlight w:val="none"/>
        </w:rPr>
        <w:t>考核结果通报之前，</w:t>
      </w:r>
      <w:r>
        <w:rPr>
          <w:rFonts w:hint="eastAsia" w:ascii="宋体" w:hAnsi="宋体" w:eastAsia="宋体" w:cs="宋体"/>
          <w:bCs/>
          <w:kern w:val="0"/>
          <w:sz w:val="24"/>
          <w:szCs w:val="24"/>
          <w:highlight w:val="none"/>
          <w:lang w:val="en-US" w:eastAsia="zh-CN"/>
        </w:rPr>
        <w:t>下月</w:t>
      </w:r>
      <w:r>
        <w:rPr>
          <w:rFonts w:hint="eastAsia" w:ascii="宋体" w:hAnsi="宋体" w:eastAsia="宋体" w:cs="宋体"/>
          <w:bCs/>
          <w:kern w:val="0"/>
          <w:sz w:val="24"/>
          <w:szCs w:val="24"/>
          <w:highlight w:val="none"/>
        </w:rPr>
        <w:t>发生</w:t>
      </w:r>
      <w:r>
        <w:rPr>
          <w:rFonts w:hint="eastAsia" w:ascii="宋体" w:hAnsi="宋体" w:eastAsia="宋体" w:cs="宋体"/>
          <w:bCs/>
          <w:kern w:val="0"/>
          <w:sz w:val="24"/>
          <w:szCs w:val="24"/>
          <w:highlight w:val="none"/>
          <w:lang w:val="en-US" w:eastAsia="zh-CN"/>
        </w:rPr>
        <w:t>因绿地管理成效不佳形</w:t>
      </w:r>
      <w:r>
        <w:rPr>
          <w:rFonts w:hint="eastAsia" w:ascii="宋体" w:hAnsi="宋体" w:eastAsia="宋体" w:cs="宋体"/>
          <w:bCs/>
          <w:kern w:val="0"/>
          <w:sz w:val="24"/>
          <w:szCs w:val="24"/>
          <w:highlight w:val="none"/>
        </w:rPr>
        <w:t>成不良社会</w:t>
      </w:r>
      <w:r>
        <w:rPr>
          <w:rFonts w:hint="eastAsia" w:ascii="宋体" w:hAnsi="宋体" w:eastAsia="宋体" w:cs="宋体"/>
          <w:bCs/>
          <w:kern w:val="0"/>
          <w:sz w:val="24"/>
          <w:szCs w:val="24"/>
          <w:highlight w:val="none"/>
          <w:lang w:val="en-US" w:eastAsia="zh-CN"/>
        </w:rPr>
        <w:t>评价</w:t>
      </w:r>
      <w:r>
        <w:rPr>
          <w:rFonts w:hint="eastAsia" w:ascii="宋体" w:hAnsi="宋体" w:eastAsia="宋体" w:cs="宋体"/>
          <w:bCs/>
          <w:kern w:val="0"/>
          <w:sz w:val="24"/>
          <w:szCs w:val="24"/>
          <w:highlight w:val="none"/>
        </w:rPr>
        <w:t>的，纳入本</w:t>
      </w:r>
      <w:r>
        <w:rPr>
          <w:rFonts w:hint="eastAsia" w:ascii="宋体" w:hAnsi="宋体" w:eastAsia="宋体" w:cs="宋体"/>
          <w:bCs/>
          <w:kern w:val="0"/>
          <w:sz w:val="24"/>
          <w:szCs w:val="24"/>
          <w:highlight w:val="none"/>
          <w:lang w:val="en-US" w:eastAsia="zh-CN"/>
        </w:rPr>
        <w:t>月</w:t>
      </w:r>
      <w:r>
        <w:rPr>
          <w:rFonts w:hint="eastAsia" w:ascii="宋体" w:hAnsi="宋体" w:eastAsia="宋体" w:cs="宋体"/>
          <w:bCs/>
          <w:kern w:val="0"/>
          <w:sz w:val="24"/>
          <w:szCs w:val="24"/>
          <w:highlight w:val="none"/>
        </w:rPr>
        <w:t>予以减分，不再纳入</w:t>
      </w:r>
      <w:r>
        <w:rPr>
          <w:rFonts w:hint="eastAsia" w:ascii="宋体" w:hAnsi="宋体" w:eastAsia="宋体" w:cs="宋体"/>
          <w:bCs/>
          <w:kern w:val="0"/>
          <w:sz w:val="24"/>
          <w:szCs w:val="24"/>
          <w:highlight w:val="none"/>
          <w:lang w:val="en-US" w:eastAsia="zh-CN"/>
        </w:rPr>
        <w:t>下月</w:t>
      </w:r>
      <w:r>
        <w:rPr>
          <w:rFonts w:hint="eastAsia" w:ascii="宋体" w:hAnsi="宋体" w:eastAsia="宋体" w:cs="宋体"/>
          <w:bCs/>
          <w:kern w:val="0"/>
          <w:sz w:val="24"/>
          <w:szCs w:val="24"/>
          <w:highlight w:val="none"/>
        </w:rPr>
        <w:t>考核。</w:t>
      </w:r>
    </w:p>
    <w:p w14:paraId="17F9F486">
      <w:pPr>
        <w:numPr>
          <w:ilvl w:val="0"/>
          <w:numId w:val="19"/>
        </w:numPr>
        <w:spacing w:line="560" w:lineRule="exact"/>
        <w:ind w:left="0" w:leftChars="0" w:firstLine="480" w:firstLineChars="200"/>
        <w:rPr>
          <w:rFonts w:hint="eastAsia" w:ascii="宋体" w:hAnsi="宋体" w:eastAsia="宋体" w:cs="宋体"/>
          <w:bCs/>
          <w:kern w:val="0"/>
          <w:sz w:val="24"/>
          <w:szCs w:val="24"/>
          <w:highlight w:val="none"/>
        </w:rPr>
      </w:pPr>
      <w:r>
        <w:rPr>
          <w:rFonts w:hint="eastAsia" w:ascii="宋体" w:hAnsi="宋体" w:eastAsia="宋体" w:cs="宋体"/>
          <w:sz w:val="24"/>
          <w:szCs w:val="24"/>
          <w:highlight w:val="none"/>
        </w:rPr>
        <w:t>结果公开</w:t>
      </w:r>
    </w:p>
    <w:p w14:paraId="45F401DC">
      <w:pPr>
        <w:pStyle w:val="26"/>
        <w:spacing w:line="560" w:lineRule="exact"/>
        <w:ind w:firstLine="480" w:firstLineChars="200"/>
        <w:jc w:val="left"/>
        <w:rPr>
          <w:rFonts w:hint="eastAsia" w:ascii="宋体" w:hAnsi="宋体" w:eastAsia="宋体" w:cs="宋体"/>
          <w:bCs/>
          <w:kern w:val="0"/>
          <w:sz w:val="24"/>
          <w:szCs w:val="24"/>
          <w:highlight w:val="none"/>
          <w:lang w:eastAsia="zh-CN"/>
        </w:rPr>
      </w:pPr>
      <w:r>
        <w:rPr>
          <w:rFonts w:hint="eastAsia" w:ascii="宋体" w:hAnsi="宋体" w:eastAsia="宋体" w:cs="宋体"/>
          <w:bCs/>
          <w:kern w:val="0"/>
          <w:sz w:val="24"/>
          <w:szCs w:val="24"/>
          <w:highlight w:val="none"/>
        </w:rPr>
        <w:t>考核情况按月通报养护单位</w:t>
      </w:r>
      <w:r>
        <w:rPr>
          <w:rFonts w:hint="eastAsia" w:ascii="宋体" w:hAnsi="宋体" w:eastAsia="宋体" w:cs="宋体"/>
          <w:bCs/>
          <w:kern w:val="0"/>
          <w:sz w:val="24"/>
          <w:szCs w:val="24"/>
          <w:highlight w:val="none"/>
          <w:lang w:eastAsia="zh-CN"/>
        </w:rPr>
        <w:t>。</w:t>
      </w:r>
    </w:p>
    <w:p w14:paraId="1607B7F2">
      <w:pPr>
        <w:rPr>
          <w:rFonts w:hint="eastAsia" w:ascii="宋体" w:hAnsi="宋体" w:eastAsia="宋体" w:cs="宋体"/>
          <w:sz w:val="24"/>
          <w:szCs w:val="24"/>
          <w:highlight w:val="none"/>
        </w:rPr>
      </w:pPr>
    </w:p>
    <w:p w14:paraId="34A35928">
      <w:pPr>
        <w:numPr>
          <w:ilvl w:val="0"/>
          <w:numId w:val="21"/>
        </w:numPr>
        <w:spacing w:line="56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奖罚措施</w:t>
      </w:r>
    </w:p>
    <w:p w14:paraId="78CEE1B0">
      <w:pPr>
        <w:spacing w:line="5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第十</w:t>
      </w:r>
      <w:r>
        <w:rPr>
          <w:rFonts w:hint="eastAsia" w:ascii="宋体" w:hAnsi="宋体" w:eastAsia="宋体" w:cs="宋体"/>
          <w:sz w:val="24"/>
          <w:szCs w:val="24"/>
          <w:highlight w:val="none"/>
          <w:lang w:val="en-US" w:eastAsia="zh-CN"/>
        </w:rPr>
        <w:t>一</w:t>
      </w:r>
      <w:r>
        <w:rPr>
          <w:rFonts w:hint="eastAsia" w:ascii="宋体" w:hAnsi="宋体" w:eastAsia="宋体" w:cs="宋体"/>
          <w:sz w:val="24"/>
          <w:szCs w:val="24"/>
          <w:highlight w:val="none"/>
        </w:rPr>
        <w:t>条  考核成绩低于75分（不含）的给予黄牌警告。连续</w:t>
      </w:r>
      <w:r>
        <w:rPr>
          <w:rFonts w:hint="eastAsia" w:ascii="宋体" w:hAnsi="宋体" w:eastAsia="宋体" w:cs="宋体"/>
          <w:sz w:val="24"/>
          <w:szCs w:val="24"/>
          <w:highlight w:val="none"/>
          <w:lang w:val="en-US" w:eastAsia="zh-CN"/>
        </w:rPr>
        <w:t>三</w:t>
      </w:r>
      <w:r>
        <w:rPr>
          <w:rFonts w:hint="eastAsia" w:ascii="宋体" w:hAnsi="宋体" w:eastAsia="宋体" w:cs="宋体"/>
          <w:sz w:val="24"/>
          <w:szCs w:val="24"/>
          <w:highlight w:val="none"/>
        </w:rPr>
        <w:t>个月被黄牌警告的养护单位，终止当前合同，三年内不得参与同类项目投标。</w:t>
      </w:r>
    </w:p>
    <w:p w14:paraId="48F32A56">
      <w:pPr>
        <w:spacing w:line="5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第十</w:t>
      </w:r>
      <w:r>
        <w:rPr>
          <w:rFonts w:hint="eastAsia" w:ascii="宋体" w:hAnsi="宋体" w:eastAsia="宋体" w:cs="宋体"/>
          <w:sz w:val="24"/>
          <w:szCs w:val="24"/>
          <w:highlight w:val="none"/>
          <w:lang w:val="en-US" w:eastAsia="zh-CN"/>
        </w:rPr>
        <w:t>二</w:t>
      </w:r>
      <w:r>
        <w:rPr>
          <w:rFonts w:hint="eastAsia" w:ascii="宋体" w:hAnsi="宋体" w:eastAsia="宋体" w:cs="宋体"/>
          <w:sz w:val="24"/>
          <w:szCs w:val="24"/>
          <w:highlight w:val="none"/>
        </w:rPr>
        <w:t xml:space="preserve">条 </w:t>
      </w:r>
      <w:r>
        <w:rPr>
          <w:rFonts w:hint="eastAsia" w:ascii="宋体" w:hAnsi="宋体" w:eastAsia="宋体" w:cs="宋体"/>
          <w:sz w:val="24"/>
          <w:szCs w:val="24"/>
          <w:highlight w:val="none"/>
          <w:lang w:val="en-US" w:eastAsia="zh-CN"/>
        </w:rPr>
        <w:t>设立5万元奖金池，如</w:t>
      </w:r>
      <w:r>
        <w:rPr>
          <w:rFonts w:hint="eastAsia" w:ascii="宋体" w:hAnsi="宋体" w:eastAsia="宋体" w:cs="宋体"/>
          <w:sz w:val="24"/>
          <w:szCs w:val="24"/>
          <w:highlight w:val="none"/>
        </w:rPr>
        <w:t>有下列情形之一的及时申报</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经城管执法局核查后给予相应奖励。</w:t>
      </w:r>
    </w:p>
    <w:p w14:paraId="4EEAC646">
      <w:pPr>
        <w:spacing w:line="56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一</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绿地养护管理工作取得优异成绩，被省、市、区作为示范点位，给予0.5-1.5万元奖励；</w:t>
      </w:r>
    </w:p>
    <w:p w14:paraId="536BD2F6">
      <w:pPr>
        <w:spacing w:line="5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（二）被省、市、区级主流媒体正面报道的，给予0.5-1.5万元奖励；</w:t>
      </w:r>
    </w:p>
    <w:p w14:paraId="3BD47209">
      <w:pPr>
        <w:spacing w:line="56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（三）其他城管执法局认为应当奖励的情况。</w:t>
      </w:r>
    </w:p>
    <w:p w14:paraId="0CD9D9F0">
      <w:pPr>
        <w:numPr>
          <w:ilvl w:val="0"/>
          <w:numId w:val="0"/>
        </w:numPr>
        <w:spacing w:line="5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第十三条 </w:t>
      </w:r>
      <w:r>
        <w:rPr>
          <w:rFonts w:hint="eastAsia" w:ascii="宋体" w:hAnsi="宋体" w:eastAsia="宋体" w:cs="宋体"/>
          <w:sz w:val="24"/>
          <w:szCs w:val="24"/>
          <w:highlight w:val="none"/>
          <w:lang w:eastAsia="zh-CN"/>
        </w:rPr>
        <w:t>有下列情形之一的，</w:t>
      </w:r>
      <w:r>
        <w:rPr>
          <w:rFonts w:hint="eastAsia" w:ascii="宋体" w:hAnsi="宋体" w:eastAsia="宋体" w:cs="宋体"/>
          <w:sz w:val="24"/>
          <w:szCs w:val="24"/>
          <w:highlight w:val="none"/>
        </w:rPr>
        <w:t>经城管执法局核查后给予相应</w:t>
      </w:r>
      <w:r>
        <w:rPr>
          <w:rFonts w:hint="eastAsia" w:ascii="宋体" w:hAnsi="宋体" w:eastAsia="宋体" w:cs="宋体"/>
          <w:sz w:val="24"/>
          <w:szCs w:val="24"/>
          <w:highlight w:val="none"/>
          <w:lang w:val="en-US" w:eastAsia="zh-CN"/>
        </w:rPr>
        <w:t>处罚</w:t>
      </w:r>
      <w:r>
        <w:rPr>
          <w:rFonts w:hint="eastAsia" w:ascii="宋体" w:hAnsi="宋体" w:eastAsia="宋体" w:cs="宋体"/>
          <w:sz w:val="24"/>
          <w:szCs w:val="24"/>
          <w:highlight w:val="none"/>
        </w:rPr>
        <w:t>。</w:t>
      </w:r>
    </w:p>
    <w:p w14:paraId="42A647FB">
      <w:pPr>
        <w:spacing w:line="560" w:lineRule="exact"/>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一</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受到省、市、区级主管部门督导检查通报批评，根据问题影响程度，处以0.5-1.5万元处罚。</w:t>
      </w:r>
    </w:p>
    <w:p w14:paraId="535C771B">
      <w:pPr>
        <w:spacing w:line="56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二</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被省、市、区级主流媒体负面报道的，根据问题影响程度，处以0.5-1.5万元处罚。</w:t>
      </w:r>
    </w:p>
    <w:p w14:paraId="7E589F36">
      <w:pPr>
        <w:spacing w:line="5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第十</w:t>
      </w:r>
      <w:r>
        <w:rPr>
          <w:rFonts w:hint="eastAsia" w:ascii="宋体" w:hAnsi="宋体" w:eastAsia="宋体" w:cs="宋体"/>
          <w:sz w:val="24"/>
          <w:szCs w:val="24"/>
          <w:highlight w:val="none"/>
          <w:lang w:val="en-US" w:eastAsia="zh-CN"/>
        </w:rPr>
        <w:t>四</w:t>
      </w:r>
      <w:r>
        <w:rPr>
          <w:rFonts w:hint="eastAsia" w:ascii="宋体" w:hAnsi="宋体" w:eastAsia="宋体" w:cs="宋体"/>
          <w:sz w:val="24"/>
          <w:szCs w:val="24"/>
          <w:highlight w:val="none"/>
        </w:rPr>
        <w:t>条  考核中，发现养护单位未按合同标准要求完成养护管理任务的，责令企业限期整改。对整改达不到要求的，予以扣分并罚款，业主单位有权安排其他队伍代为完成，费用由该标段养护单位全部承担。</w:t>
      </w:r>
    </w:p>
    <w:p w14:paraId="11325B7D">
      <w:pPr>
        <w:rPr>
          <w:rFonts w:hint="eastAsia" w:ascii="宋体" w:hAnsi="宋体" w:eastAsia="宋体" w:cs="宋体"/>
          <w:kern w:val="2"/>
          <w:sz w:val="24"/>
          <w:szCs w:val="24"/>
          <w:highlight w:val="none"/>
          <w:lang w:val="en-US" w:eastAsia="zh-CN" w:bidi="ar-SA"/>
        </w:rPr>
      </w:pPr>
    </w:p>
    <w:p w14:paraId="6B9A25C9">
      <w:pPr>
        <w:pStyle w:val="2"/>
        <w:ind w:left="0" w:leftChars="0" w:firstLine="0" w:firstLineChars="0"/>
        <w:jc w:val="both"/>
        <w:rPr>
          <w:rFonts w:hint="eastAsia" w:ascii="宋体" w:hAnsi="宋体" w:eastAsia="宋体" w:cs="宋体"/>
          <w:kern w:val="2"/>
          <w:sz w:val="24"/>
          <w:szCs w:val="24"/>
          <w:highlight w:val="none"/>
          <w:lang w:val="en-US" w:eastAsia="zh-CN" w:bidi="ar-SA"/>
        </w:rPr>
        <w:sectPr>
          <w:pgSz w:w="11906" w:h="16838"/>
          <w:pgMar w:top="1440" w:right="1800" w:bottom="1440" w:left="1800" w:header="851" w:footer="992" w:gutter="0"/>
          <w:pgBorders w:offsetFrom="page">
            <w:top w:val="none" w:sz="0" w:space="0"/>
            <w:left w:val="none" w:sz="0" w:space="0"/>
            <w:bottom w:val="none" w:sz="0" w:space="0"/>
            <w:right w:val="none" w:sz="0" w:space="0"/>
          </w:pgBorders>
          <w:cols w:space="425" w:num="1"/>
          <w:docGrid w:type="lines" w:linePitch="312" w:charSpace="0"/>
        </w:sectPr>
      </w:pPr>
    </w:p>
    <w:p w14:paraId="0E320556">
      <w:pPr>
        <w:pStyle w:val="26"/>
        <w:keepNext w:val="0"/>
        <w:keepLines w:val="0"/>
        <w:pageBreakBefore w:val="0"/>
        <w:kinsoku/>
        <w:wordWrap/>
        <w:overflowPunct/>
        <w:topLinePunct w:val="0"/>
        <w:autoSpaceDE/>
        <w:autoSpaceDN/>
        <w:bidi w:val="0"/>
        <w:adjustRightInd/>
        <w:snapToGrid/>
        <w:spacing w:line="560" w:lineRule="exact"/>
        <w:jc w:val="left"/>
        <w:textAlignment w:val="auto"/>
        <w:rPr>
          <w:rFonts w:hint="default" w:ascii="宋体" w:hAnsi="宋体" w:eastAsia="宋体" w:cs="宋体"/>
          <w:bCs/>
          <w:w w:val="99"/>
          <w:kern w:val="0"/>
          <w:sz w:val="24"/>
          <w:szCs w:val="24"/>
          <w:highlight w:val="none"/>
          <w:lang w:val="en-US" w:eastAsia="zh-CN"/>
        </w:rPr>
      </w:pPr>
      <w:r>
        <w:rPr>
          <w:rFonts w:hint="eastAsia" w:hAnsi="宋体" w:eastAsia="宋体" w:cs="宋体"/>
          <w:bCs/>
          <w:w w:val="99"/>
          <w:kern w:val="0"/>
          <w:sz w:val="24"/>
          <w:szCs w:val="24"/>
          <w:highlight w:val="none"/>
          <w:lang w:val="en-US" w:eastAsia="zh-CN"/>
        </w:rPr>
        <w:t>附件5</w:t>
      </w:r>
    </w:p>
    <w:p w14:paraId="27FA2CB2">
      <w:pPr>
        <w:pStyle w:val="26"/>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w w:val="99"/>
          <w:kern w:val="0"/>
          <w:sz w:val="24"/>
          <w:szCs w:val="24"/>
          <w:highlight w:val="none"/>
        </w:rPr>
      </w:pPr>
      <w:r>
        <w:rPr>
          <w:rFonts w:hint="eastAsia" w:ascii="宋体" w:hAnsi="宋体" w:eastAsia="宋体" w:cs="宋体"/>
          <w:bCs/>
          <w:w w:val="99"/>
          <w:kern w:val="0"/>
          <w:sz w:val="24"/>
          <w:szCs w:val="24"/>
          <w:highlight w:val="none"/>
          <w:lang w:eastAsia="zh-CN"/>
        </w:rPr>
        <w:t>草堂街道</w:t>
      </w:r>
      <w:r>
        <w:rPr>
          <w:rFonts w:hint="eastAsia" w:ascii="宋体" w:hAnsi="宋体" w:eastAsia="宋体" w:cs="宋体"/>
          <w:bCs/>
          <w:w w:val="99"/>
          <w:kern w:val="0"/>
          <w:sz w:val="24"/>
          <w:szCs w:val="24"/>
          <w:highlight w:val="none"/>
        </w:rPr>
        <w:t>绿化养护管理项目考评标准及得分统计表</w:t>
      </w:r>
    </w:p>
    <w:p w14:paraId="2B310CB7">
      <w:pPr>
        <w:pStyle w:val="26"/>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Cs/>
          <w:w w:val="99"/>
          <w:kern w:val="0"/>
          <w:sz w:val="24"/>
          <w:szCs w:val="24"/>
          <w:highlight w:val="none"/>
          <w:lang w:val="en-US" w:eastAsia="zh-CN"/>
        </w:rPr>
      </w:pPr>
    </w:p>
    <w:tbl>
      <w:tblPr>
        <w:tblStyle w:val="36"/>
        <w:tblW w:w="12999" w:type="dxa"/>
        <w:jc w:val="center"/>
        <w:tblLayout w:type="fixed"/>
        <w:tblCellMar>
          <w:top w:w="0" w:type="dxa"/>
          <w:left w:w="108" w:type="dxa"/>
          <w:bottom w:w="0" w:type="dxa"/>
          <w:right w:w="108" w:type="dxa"/>
        </w:tblCellMar>
      </w:tblPr>
      <w:tblGrid>
        <w:gridCol w:w="1025"/>
        <w:gridCol w:w="812"/>
        <w:gridCol w:w="3356"/>
        <w:gridCol w:w="2661"/>
        <w:gridCol w:w="73"/>
        <w:gridCol w:w="1272"/>
        <w:gridCol w:w="2676"/>
        <w:gridCol w:w="1124"/>
      </w:tblGrid>
      <w:tr w14:paraId="247EF657">
        <w:tblPrEx>
          <w:tblCellMar>
            <w:top w:w="0" w:type="dxa"/>
            <w:left w:w="108" w:type="dxa"/>
            <w:bottom w:w="0" w:type="dxa"/>
            <w:right w:w="108" w:type="dxa"/>
          </w:tblCellMar>
        </w:tblPrEx>
        <w:trPr>
          <w:trHeight w:val="698" w:hRule="atLeast"/>
          <w:jc w:val="center"/>
        </w:trPr>
        <w:tc>
          <w:tcPr>
            <w:tcW w:w="1025" w:type="dxa"/>
            <w:tcBorders>
              <w:top w:val="single" w:color="auto" w:sz="4" w:space="0"/>
              <w:left w:val="single" w:color="auto" w:sz="4" w:space="0"/>
              <w:bottom w:val="single" w:color="000000" w:sz="4" w:space="0"/>
              <w:right w:val="single" w:color="000000" w:sz="4" w:space="0"/>
            </w:tcBorders>
            <w:noWrap/>
            <w:vAlign w:val="center"/>
          </w:tcPr>
          <w:p w14:paraId="23FFFC41">
            <w:pPr>
              <w:widowControl/>
              <w:jc w:val="center"/>
              <w:textAlignment w:val="center"/>
              <w:rPr>
                <w:rFonts w:hint="eastAsia" w:ascii="宋体" w:hAnsi="宋体" w:eastAsia="宋体" w:cs="宋体"/>
                <w:color w:val="auto"/>
                <w:kern w:val="0"/>
                <w:sz w:val="24"/>
                <w:szCs w:val="24"/>
                <w:highlight w:val="none"/>
                <w:lang w:eastAsia="zh-CN" w:bidi="ar"/>
              </w:rPr>
            </w:pPr>
            <w:r>
              <w:rPr>
                <w:rFonts w:hint="eastAsia" w:ascii="宋体" w:hAnsi="宋体" w:eastAsia="宋体" w:cs="宋体"/>
                <w:color w:val="auto"/>
                <w:kern w:val="0"/>
                <w:sz w:val="24"/>
                <w:szCs w:val="24"/>
                <w:highlight w:val="none"/>
                <w:lang w:eastAsia="zh-CN" w:bidi="ar"/>
              </w:rPr>
              <w:t>考核对象</w:t>
            </w:r>
          </w:p>
        </w:tc>
        <w:tc>
          <w:tcPr>
            <w:tcW w:w="4168" w:type="dxa"/>
            <w:gridSpan w:val="2"/>
            <w:tcBorders>
              <w:top w:val="single" w:color="auto" w:sz="4" w:space="0"/>
              <w:left w:val="single" w:color="000000" w:sz="4" w:space="0"/>
              <w:bottom w:val="single" w:color="000000" w:sz="4" w:space="0"/>
              <w:right w:val="single" w:color="000000" w:sz="4" w:space="0"/>
            </w:tcBorders>
            <w:noWrap/>
            <w:vAlign w:val="center"/>
          </w:tcPr>
          <w:p w14:paraId="13F4D6EB">
            <w:pPr>
              <w:widowControl/>
              <w:jc w:val="left"/>
              <w:textAlignment w:val="center"/>
              <w:rPr>
                <w:rFonts w:hint="eastAsia" w:ascii="宋体" w:hAnsi="宋体" w:eastAsia="宋体" w:cs="宋体"/>
                <w:color w:val="auto"/>
                <w:kern w:val="0"/>
                <w:sz w:val="24"/>
                <w:szCs w:val="24"/>
                <w:highlight w:val="none"/>
                <w:lang w:eastAsia="zh-CN" w:bidi="ar"/>
              </w:rPr>
            </w:pPr>
          </w:p>
        </w:tc>
        <w:tc>
          <w:tcPr>
            <w:tcW w:w="2661" w:type="dxa"/>
            <w:tcBorders>
              <w:top w:val="single" w:color="auto" w:sz="4" w:space="0"/>
              <w:left w:val="single" w:color="000000" w:sz="4" w:space="0"/>
              <w:bottom w:val="single" w:color="000000" w:sz="4" w:space="0"/>
              <w:right w:val="single" w:color="000000" w:sz="4" w:space="0"/>
            </w:tcBorders>
            <w:noWrap/>
            <w:vAlign w:val="center"/>
          </w:tcPr>
          <w:p w14:paraId="1AC8F1D3">
            <w:pPr>
              <w:widowControl/>
              <w:jc w:val="center"/>
              <w:textAlignment w:val="center"/>
              <w:rPr>
                <w:rFonts w:hint="eastAsia" w:ascii="宋体" w:hAnsi="宋体" w:eastAsia="宋体" w:cs="宋体"/>
                <w:color w:val="auto"/>
                <w:kern w:val="0"/>
                <w:sz w:val="24"/>
                <w:szCs w:val="24"/>
                <w:highlight w:val="none"/>
                <w:lang w:eastAsia="zh-CN" w:bidi="ar"/>
              </w:rPr>
            </w:pPr>
            <w:r>
              <w:rPr>
                <w:rFonts w:hint="eastAsia" w:ascii="宋体" w:hAnsi="宋体" w:eastAsia="宋体" w:cs="宋体"/>
                <w:color w:val="auto"/>
                <w:kern w:val="0"/>
                <w:sz w:val="24"/>
                <w:szCs w:val="24"/>
                <w:highlight w:val="none"/>
                <w:lang w:eastAsia="zh-CN" w:bidi="ar"/>
              </w:rPr>
              <w:t>养护时间段</w:t>
            </w:r>
          </w:p>
        </w:tc>
        <w:tc>
          <w:tcPr>
            <w:tcW w:w="5145" w:type="dxa"/>
            <w:gridSpan w:val="4"/>
            <w:tcBorders>
              <w:top w:val="single" w:color="auto" w:sz="4" w:space="0"/>
              <w:left w:val="single" w:color="000000" w:sz="4" w:space="0"/>
              <w:bottom w:val="single" w:color="000000" w:sz="4" w:space="0"/>
              <w:right w:val="single" w:color="auto" w:sz="4" w:space="0"/>
            </w:tcBorders>
            <w:noWrap/>
            <w:vAlign w:val="center"/>
          </w:tcPr>
          <w:p w14:paraId="5E012472">
            <w:pPr>
              <w:widowControl/>
              <w:jc w:val="left"/>
              <w:textAlignment w:val="center"/>
              <w:rPr>
                <w:rFonts w:hint="eastAsia" w:ascii="宋体" w:hAnsi="宋体" w:eastAsia="宋体" w:cs="宋体"/>
                <w:color w:val="auto"/>
                <w:kern w:val="0"/>
                <w:sz w:val="24"/>
                <w:szCs w:val="24"/>
                <w:highlight w:val="none"/>
                <w:lang w:bidi="ar"/>
              </w:rPr>
            </w:pPr>
          </w:p>
        </w:tc>
      </w:tr>
      <w:tr w14:paraId="410D2044">
        <w:tblPrEx>
          <w:tblCellMar>
            <w:top w:w="0" w:type="dxa"/>
            <w:left w:w="108" w:type="dxa"/>
            <w:bottom w:w="0" w:type="dxa"/>
            <w:right w:w="108" w:type="dxa"/>
          </w:tblCellMar>
        </w:tblPrEx>
        <w:trPr>
          <w:trHeight w:val="698" w:hRule="atLeast"/>
          <w:jc w:val="center"/>
        </w:trPr>
        <w:tc>
          <w:tcPr>
            <w:tcW w:w="1025" w:type="dxa"/>
            <w:tcBorders>
              <w:top w:val="single" w:color="000000" w:sz="4" w:space="0"/>
              <w:left w:val="single" w:color="auto" w:sz="4" w:space="0"/>
              <w:bottom w:val="single" w:color="000000" w:sz="4" w:space="0"/>
              <w:right w:val="single" w:color="000000" w:sz="4" w:space="0"/>
            </w:tcBorders>
            <w:noWrap w:val="0"/>
            <w:vAlign w:val="center"/>
          </w:tcPr>
          <w:p w14:paraId="6650C2BE">
            <w:pPr>
              <w:widowControl/>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考评项目</w:t>
            </w:r>
          </w:p>
        </w:tc>
        <w:tc>
          <w:tcPr>
            <w:tcW w:w="812" w:type="dxa"/>
            <w:tcBorders>
              <w:top w:val="single" w:color="000000" w:sz="4" w:space="0"/>
              <w:left w:val="single" w:color="000000" w:sz="4" w:space="0"/>
              <w:bottom w:val="single" w:color="000000" w:sz="4" w:space="0"/>
              <w:right w:val="single" w:color="000000" w:sz="4" w:space="0"/>
            </w:tcBorders>
            <w:noWrap w:val="0"/>
            <w:vAlign w:val="center"/>
          </w:tcPr>
          <w:p w14:paraId="6072F06D">
            <w:pPr>
              <w:widowControl/>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分值</w:t>
            </w:r>
          </w:p>
        </w:tc>
        <w:tc>
          <w:tcPr>
            <w:tcW w:w="10038" w:type="dxa"/>
            <w:gridSpan w:val="5"/>
            <w:tcBorders>
              <w:top w:val="single" w:color="000000" w:sz="4" w:space="0"/>
              <w:left w:val="single" w:color="000000" w:sz="4" w:space="0"/>
              <w:bottom w:val="single" w:color="000000" w:sz="4" w:space="0"/>
              <w:right w:val="single" w:color="000000" w:sz="4" w:space="0"/>
            </w:tcBorders>
            <w:noWrap/>
            <w:vAlign w:val="center"/>
          </w:tcPr>
          <w:p w14:paraId="43F110CD">
            <w:pPr>
              <w:widowControl/>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扣分原则</w:t>
            </w:r>
          </w:p>
        </w:tc>
        <w:tc>
          <w:tcPr>
            <w:tcW w:w="1124" w:type="dxa"/>
            <w:tcBorders>
              <w:top w:val="single" w:color="000000" w:sz="4" w:space="0"/>
              <w:left w:val="single" w:color="000000" w:sz="4" w:space="0"/>
              <w:bottom w:val="single" w:color="000000" w:sz="4" w:space="0"/>
              <w:right w:val="single" w:color="auto" w:sz="4" w:space="0"/>
            </w:tcBorders>
            <w:noWrap/>
            <w:vAlign w:val="center"/>
          </w:tcPr>
          <w:p w14:paraId="693A41D7">
            <w:pPr>
              <w:widowControl/>
              <w:jc w:val="center"/>
              <w:textAlignment w:val="center"/>
              <w:rPr>
                <w:rFonts w:hint="eastAsia" w:ascii="宋体" w:hAnsi="宋体" w:eastAsia="宋体" w:cs="宋体"/>
                <w:color w:val="auto"/>
                <w:kern w:val="0"/>
                <w:sz w:val="24"/>
                <w:szCs w:val="24"/>
                <w:highlight w:val="none"/>
                <w:lang w:bidi="ar"/>
              </w:rPr>
            </w:pPr>
            <w:r>
              <w:rPr>
                <w:rFonts w:hint="eastAsia" w:ascii="宋体" w:hAnsi="宋体" w:eastAsia="宋体" w:cs="宋体"/>
                <w:color w:val="auto"/>
                <w:kern w:val="0"/>
                <w:sz w:val="24"/>
                <w:szCs w:val="24"/>
                <w:highlight w:val="none"/>
                <w:lang w:bidi="ar"/>
              </w:rPr>
              <w:t>得分</w:t>
            </w:r>
          </w:p>
        </w:tc>
      </w:tr>
      <w:tr w14:paraId="49219351">
        <w:tblPrEx>
          <w:tblCellMar>
            <w:top w:w="0" w:type="dxa"/>
            <w:left w:w="108" w:type="dxa"/>
            <w:bottom w:w="0" w:type="dxa"/>
            <w:right w:w="108" w:type="dxa"/>
          </w:tblCellMar>
        </w:tblPrEx>
        <w:trPr>
          <w:trHeight w:val="533" w:hRule="atLeast"/>
          <w:jc w:val="center"/>
        </w:trPr>
        <w:tc>
          <w:tcPr>
            <w:tcW w:w="1025" w:type="dxa"/>
            <w:vMerge w:val="restart"/>
            <w:tcBorders>
              <w:top w:val="single" w:color="000000" w:sz="4" w:space="0"/>
              <w:left w:val="single" w:color="auto" w:sz="4" w:space="0"/>
              <w:right w:val="single" w:color="000000" w:sz="4" w:space="0"/>
            </w:tcBorders>
            <w:noWrap w:val="0"/>
            <w:vAlign w:val="center"/>
          </w:tcPr>
          <w:p w14:paraId="614D2495">
            <w:pPr>
              <w:widowControl/>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日常管理</w:t>
            </w:r>
          </w:p>
        </w:tc>
        <w:tc>
          <w:tcPr>
            <w:tcW w:w="812" w:type="dxa"/>
            <w:vMerge w:val="restart"/>
            <w:tcBorders>
              <w:top w:val="single" w:color="000000" w:sz="4" w:space="0"/>
              <w:left w:val="single" w:color="000000" w:sz="4" w:space="0"/>
              <w:right w:val="single" w:color="000000" w:sz="4" w:space="0"/>
            </w:tcBorders>
            <w:noWrap w:val="0"/>
            <w:vAlign w:val="center"/>
          </w:tcPr>
          <w:p w14:paraId="7D493588">
            <w:pPr>
              <w:widowControl/>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10</w:t>
            </w:r>
          </w:p>
        </w:tc>
        <w:tc>
          <w:tcPr>
            <w:tcW w:w="10038" w:type="dxa"/>
            <w:gridSpan w:val="5"/>
            <w:tcBorders>
              <w:top w:val="single" w:color="000000" w:sz="4" w:space="0"/>
              <w:left w:val="single" w:color="000000" w:sz="4" w:space="0"/>
              <w:bottom w:val="single" w:color="000000" w:sz="4" w:space="0"/>
              <w:right w:val="single" w:color="000000" w:sz="4" w:space="0"/>
            </w:tcBorders>
            <w:noWrap w:val="0"/>
            <w:vAlign w:val="center"/>
          </w:tcPr>
          <w:p w14:paraId="5E6E2D93">
            <w:pPr>
              <w:widowControl/>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资料：每周五上报次周计划表及作业人数，未按时上报扣1分；</w:t>
            </w:r>
          </w:p>
        </w:tc>
        <w:tc>
          <w:tcPr>
            <w:tcW w:w="1124" w:type="dxa"/>
            <w:tcBorders>
              <w:top w:val="single" w:color="000000" w:sz="4" w:space="0"/>
              <w:left w:val="single" w:color="000000" w:sz="4" w:space="0"/>
              <w:bottom w:val="single" w:color="000000" w:sz="4" w:space="0"/>
              <w:right w:val="single" w:color="auto" w:sz="4" w:space="0"/>
            </w:tcBorders>
            <w:noWrap/>
            <w:vAlign w:val="center"/>
          </w:tcPr>
          <w:p w14:paraId="4887367E">
            <w:pPr>
              <w:widowControl/>
              <w:jc w:val="left"/>
              <w:textAlignment w:val="center"/>
              <w:rPr>
                <w:rFonts w:hint="eastAsia" w:ascii="宋体" w:hAnsi="宋体" w:eastAsia="宋体" w:cs="宋体"/>
                <w:color w:val="auto"/>
                <w:kern w:val="0"/>
                <w:sz w:val="24"/>
                <w:szCs w:val="24"/>
                <w:highlight w:val="none"/>
                <w:lang w:bidi="ar"/>
              </w:rPr>
            </w:pPr>
          </w:p>
        </w:tc>
      </w:tr>
      <w:tr w14:paraId="070B08C5">
        <w:tblPrEx>
          <w:tblCellMar>
            <w:top w:w="0" w:type="dxa"/>
            <w:left w:w="108" w:type="dxa"/>
            <w:bottom w:w="0" w:type="dxa"/>
            <w:right w:w="108" w:type="dxa"/>
          </w:tblCellMar>
        </w:tblPrEx>
        <w:trPr>
          <w:trHeight w:val="698" w:hRule="atLeast"/>
          <w:jc w:val="center"/>
        </w:trPr>
        <w:tc>
          <w:tcPr>
            <w:tcW w:w="1025" w:type="dxa"/>
            <w:vMerge w:val="continue"/>
            <w:tcBorders>
              <w:left w:val="single" w:color="auto" w:sz="4" w:space="0"/>
              <w:right w:val="single" w:color="000000" w:sz="4" w:space="0"/>
            </w:tcBorders>
            <w:noWrap w:val="0"/>
            <w:vAlign w:val="center"/>
          </w:tcPr>
          <w:p w14:paraId="7A5A4611">
            <w:pPr>
              <w:widowControl/>
              <w:jc w:val="center"/>
              <w:textAlignment w:val="center"/>
              <w:rPr>
                <w:rFonts w:hint="eastAsia" w:ascii="宋体" w:hAnsi="宋体" w:eastAsia="宋体" w:cs="宋体"/>
                <w:color w:val="auto"/>
                <w:kern w:val="0"/>
                <w:sz w:val="24"/>
                <w:szCs w:val="24"/>
                <w:highlight w:val="none"/>
                <w:lang w:bidi="ar"/>
              </w:rPr>
            </w:pPr>
          </w:p>
        </w:tc>
        <w:tc>
          <w:tcPr>
            <w:tcW w:w="812" w:type="dxa"/>
            <w:vMerge w:val="continue"/>
            <w:tcBorders>
              <w:left w:val="single" w:color="000000" w:sz="4" w:space="0"/>
              <w:right w:val="single" w:color="000000" w:sz="4" w:space="0"/>
            </w:tcBorders>
            <w:noWrap w:val="0"/>
            <w:vAlign w:val="center"/>
          </w:tcPr>
          <w:p w14:paraId="575AEA78">
            <w:pPr>
              <w:widowControl/>
              <w:jc w:val="center"/>
              <w:textAlignment w:val="center"/>
              <w:rPr>
                <w:rFonts w:hint="eastAsia" w:ascii="宋体" w:hAnsi="宋体" w:eastAsia="宋体" w:cs="宋体"/>
                <w:color w:val="auto"/>
                <w:kern w:val="0"/>
                <w:sz w:val="24"/>
                <w:szCs w:val="24"/>
                <w:highlight w:val="none"/>
                <w:lang w:bidi="ar"/>
              </w:rPr>
            </w:pPr>
          </w:p>
        </w:tc>
        <w:tc>
          <w:tcPr>
            <w:tcW w:w="10038" w:type="dxa"/>
            <w:gridSpan w:val="5"/>
            <w:tcBorders>
              <w:top w:val="single" w:color="000000" w:sz="4" w:space="0"/>
              <w:left w:val="single" w:color="000000" w:sz="4" w:space="0"/>
              <w:bottom w:val="single" w:color="000000" w:sz="4" w:space="0"/>
              <w:right w:val="single" w:color="000000" w:sz="4" w:space="0"/>
            </w:tcBorders>
            <w:noWrap w:val="0"/>
            <w:vAlign w:val="center"/>
          </w:tcPr>
          <w:p w14:paraId="07E8AA0B">
            <w:pPr>
              <w:widowControl/>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安全：健全安全管理制度，建立各类安全预案，定期排查安全隐患，每缺一项扣1分。</w:t>
            </w:r>
          </w:p>
        </w:tc>
        <w:tc>
          <w:tcPr>
            <w:tcW w:w="1124" w:type="dxa"/>
            <w:tcBorders>
              <w:top w:val="single" w:color="000000" w:sz="4" w:space="0"/>
              <w:left w:val="single" w:color="000000" w:sz="4" w:space="0"/>
              <w:bottom w:val="single" w:color="000000" w:sz="4" w:space="0"/>
              <w:right w:val="single" w:color="auto" w:sz="4" w:space="0"/>
            </w:tcBorders>
            <w:noWrap/>
            <w:vAlign w:val="bottom"/>
          </w:tcPr>
          <w:p w14:paraId="5746D83D">
            <w:pPr>
              <w:jc w:val="left"/>
              <w:rPr>
                <w:rFonts w:hint="eastAsia" w:ascii="宋体" w:hAnsi="宋体" w:eastAsia="宋体" w:cs="宋体"/>
                <w:color w:val="auto"/>
                <w:kern w:val="0"/>
                <w:sz w:val="24"/>
                <w:szCs w:val="24"/>
                <w:highlight w:val="none"/>
                <w:lang w:bidi="ar"/>
              </w:rPr>
            </w:pPr>
          </w:p>
        </w:tc>
      </w:tr>
      <w:tr w14:paraId="098FA320">
        <w:tblPrEx>
          <w:tblCellMar>
            <w:top w:w="0" w:type="dxa"/>
            <w:left w:w="108" w:type="dxa"/>
            <w:bottom w:w="0" w:type="dxa"/>
            <w:right w:w="108" w:type="dxa"/>
          </w:tblCellMar>
        </w:tblPrEx>
        <w:trPr>
          <w:trHeight w:val="698" w:hRule="atLeast"/>
          <w:jc w:val="center"/>
        </w:trPr>
        <w:tc>
          <w:tcPr>
            <w:tcW w:w="1025" w:type="dxa"/>
            <w:vMerge w:val="continue"/>
            <w:tcBorders>
              <w:left w:val="single" w:color="auto" w:sz="4" w:space="0"/>
              <w:right w:val="single" w:color="000000" w:sz="4" w:space="0"/>
            </w:tcBorders>
            <w:noWrap w:val="0"/>
            <w:vAlign w:val="center"/>
          </w:tcPr>
          <w:p w14:paraId="696E7FCE">
            <w:pPr>
              <w:widowControl/>
              <w:jc w:val="center"/>
              <w:textAlignment w:val="center"/>
              <w:rPr>
                <w:rFonts w:hint="eastAsia" w:ascii="宋体" w:hAnsi="宋体" w:eastAsia="宋体" w:cs="宋体"/>
                <w:color w:val="auto"/>
                <w:kern w:val="0"/>
                <w:sz w:val="24"/>
                <w:szCs w:val="24"/>
                <w:highlight w:val="none"/>
                <w:lang w:bidi="ar"/>
              </w:rPr>
            </w:pPr>
          </w:p>
        </w:tc>
        <w:tc>
          <w:tcPr>
            <w:tcW w:w="812" w:type="dxa"/>
            <w:vMerge w:val="continue"/>
            <w:tcBorders>
              <w:left w:val="single" w:color="000000" w:sz="4" w:space="0"/>
              <w:right w:val="single" w:color="000000" w:sz="4" w:space="0"/>
            </w:tcBorders>
            <w:noWrap w:val="0"/>
            <w:vAlign w:val="center"/>
          </w:tcPr>
          <w:p w14:paraId="1A743366">
            <w:pPr>
              <w:widowControl/>
              <w:jc w:val="center"/>
              <w:textAlignment w:val="center"/>
              <w:rPr>
                <w:rFonts w:hint="eastAsia" w:ascii="宋体" w:hAnsi="宋体" w:eastAsia="宋体" w:cs="宋体"/>
                <w:color w:val="auto"/>
                <w:kern w:val="0"/>
                <w:sz w:val="24"/>
                <w:szCs w:val="24"/>
                <w:highlight w:val="none"/>
                <w:lang w:bidi="ar"/>
              </w:rPr>
            </w:pPr>
          </w:p>
        </w:tc>
        <w:tc>
          <w:tcPr>
            <w:tcW w:w="10038" w:type="dxa"/>
            <w:gridSpan w:val="5"/>
            <w:tcBorders>
              <w:top w:val="single" w:color="000000" w:sz="4" w:space="0"/>
              <w:left w:val="single" w:color="000000" w:sz="4" w:space="0"/>
              <w:bottom w:val="single" w:color="000000" w:sz="4" w:space="0"/>
              <w:right w:val="single" w:color="000000" w:sz="4" w:space="0"/>
            </w:tcBorders>
            <w:noWrap w:val="0"/>
            <w:vAlign w:val="center"/>
          </w:tcPr>
          <w:p w14:paraId="13226AD0">
            <w:pPr>
              <w:widowControl/>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项目负责人在岗：项目负责人（主管）人员是否在岗履行职务，未在岗扣1分。</w:t>
            </w:r>
          </w:p>
        </w:tc>
        <w:tc>
          <w:tcPr>
            <w:tcW w:w="1124" w:type="dxa"/>
            <w:tcBorders>
              <w:top w:val="single" w:color="000000" w:sz="4" w:space="0"/>
              <w:left w:val="single" w:color="000000" w:sz="4" w:space="0"/>
              <w:bottom w:val="single" w:color="000000" w:sz="4" w:space="0"/>
              <w:right w:val="single" w:color="auto" w:sz="4" w:space="0"/>
            </w:tcBorders>
            <w:noWrap/>
            <w:vAlign w:val="bottom"/>
          </w:tcPr>
          <w:p w14:paraId="59F581BD">
            <w:pPr>
              <w:jc w:val="left"/>
              <w:rPr>
                <w:rFonts w:hint="eastAsia" w:ascii="宋体" w:hAnsi="宋体" w:eastAsia="宋体" w:cs="宋体"/>
                <w:color w:val="auto"/>
                <w:kern w:val="0"/>
                <w:sz w:val="24"/>
                <w:szCs w:val="24"/>
                <w:highlight w:val="none"/>
                <w:lang w:bidi="ar"/>
              </w:rPr>
            </w:pPr>
          </w:p>
        </w:tc>
      </w:tr>
      <w:tr w14:paraId="5A1C1B03">
        <w:tblPrEx>
          <w:tblCellMar>
            <w:top w:w="0" w:type="dxa"/>
            <w:left w:w="108" w:type="dxa"/>
            <w:bottom w:w="0" w:type="dxa"/>
            <w:right w:w="108" w:type="dxa"/>
          </w:tblCellMar>
        </w:tblPrEx>
        <w:trPr>
          <w:trHeight w:val="369" w:hRule="atLeast"/>
          <w:jc w:val="center"/>
        </w:trPr>
        <w:tc>
          <w:tcPr>
            <w:tcW w:w="1025" w:type="dxa"/>
            <w:vMerge w:val="continue"/>
            <w:tcBorders>
              <w:left w:val="single" w:color="auto" w:sz="4" w:space="0"/>
              <w:right w:val="single" w:color="000000" w:sz="4" w:space="0"/>
            </w:tcBorders>
            <w:noWrap w:val="0"/>
            <w:vAlign w:val="center"/>
          </w:tcPr>
          <w:p w14:paraId="05490628">
            <w:pPr>
              <w:widowControl/>
              <w:jc w:val="center"/>
              <w:textAlignment w:val="center"/>
              <w:rPr>
                <w:rFonts w:hint="eastAsia" w:ascii="宋体" w:hAnsi="宋体" w:eastAsia="宋体" w:cs="宋体"/>
                <w:color w:val="auto"/>
                <w:kern w:val="0"/>
                <w:sz w:val="24"/>
                <w:szCs w:val="24"/>
                <w:highlight w:val="none"/>
                <w:lang w:bidi="ar"/>
              </w:rPr>
            </w:pPr>
          </w:p>
        </w:tc>
        <w:tc>
          <w:tcPr>
            <w:tcW w:w="812" w:type="dxa"/>
            <w:vMerge w:val="continue"/>
            <w:tcBorders>
              <w:left w:val="single" w:color="000000" w:sz="4" w:space="0"/>
              <w:right w:val="single" w:color="000000" w:sz="4" w:space="0"/>
            </w:tcBorders>
            <w:noWrap w:val="0"/>
            <w:vAlign w:val="center"/>
          </w:tcPr>
          <w:p w14:paraId="79E0BF9C">
            <w:pPr>
              <w:widowControl/>
              <w:jc w:val="center"/>
              <w:textAlignment w:val="center"/>
              <w:rPr>
                <w:rFonts w:hint="eastAsia" w:ascii="宋体" w:hAnsi="宋体" w:eastAsia="宋体" w:cs="宋体"/>
                <w:color w:val="auto"/>
                <w:kern w:val="0"/>
                <w:sz w:val="24"/>
                <w:szCs w:val="24"/>
                <w:highlight w:val="none"/>
                <w:lang w:bidi="ar"/>
              </w:rPr>
            </w:pPr>
          </w:p>
        </w:tc>
        <w:tc>
          <w:tcPr>
            <w:tcW w:w="10038" w:type="dxa"/>
            <w:gridSpan w:val="5"/>
            <w:tcBorders>
              <w:top w:val="single" w:color="000000" w:sz="4" w:space="0"/>
              <w:left w:val="single" w:color="000000" w:sz="4" w:space="0"/>
              <w:bottom w:val="single" w:color="auto" w:sz="4" w:space="0"/>
              <w:right w:val="single" w:color="000000" w:sz="4" w:space="0"/>
            </w:tcBorders>
            <w:noWrap w:val="0"/>
            <w:vAlign w:val="center"/>
          </w:tcPr>
          <w:p w14:paraId="5125A31D">
            <w:pPr>
              <w:widowControl/>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作业人员数量：按照周计划表安排相应作业人员，少一人扣0.5分。</w:t>
            </w:r>
          </w:p>
        </w:tc>
        <w:tc>
          <w:tcPr>
            <w:tcW w:w="1124" w:type="dxa"/>
            <w:tcBorders>
              <w:top w:val="single" w:color="000000" w:sz="4" w:space="0"/>
              <w:left w:val="single" w:color="000000" w:sz="4" w:space="0"/>
              <w:bottom w:val="single" w:color="auto" w:sz="4" w:space="0"/>
              <w:right w:val="single" w:color="auto" w:sz="4" w:space="0"/>
            </w:tcBorders>
            <w:noWrap/>
            <w:vAlign w:val="bottom"/>
          </w:tcPr>
          <w:p w14:paraId="24E6ABC3">
            <w:pPr>
              <w:jc w:val="left"/>
              <w:rPr>
                <w:rFonts w:hint="eastAsia" w:ascii="宋体" w:hAnsi="宋体" w:eastAsia="宋体" w:cs="宋体"/>
                <w:color w:val="auto"/>
                <w:kern w:val="0"/>
                <w:sz w:val="24"/>
                <w:szCs w:val="24"/>
                <w:highlight w:val="none"/>
                <w:lang w:bidi="ar"/>
              </w:rPr>
            </w:pPr>
          </w:p>
        </w:tc>
      </w:tr>
      <w:tr w14:paraId="5038A853">
        <w:tblPrEx>
          <w:tblCellMar>
            <w:top w:w="0" w:type="dxa"/>
            <w:left w:w="108" w:type="dxa"/>
            <w:bottom w:w="0" w:type="dxa"/>
            <w:right w:w="108" w:type="dxa"/>
          </w:tblCellMar>
        </w:tblPrEx>
        <w:trPr>
          <w:trHeight w:val="1035" w:hRule="atLeast"/>
          <w:jc w:val="center"/>
        </w:trPr>
        <w:tc>
          <w:tcPr>
            <w:tcW w:w="1025" w:type="dxa"/>
            <w:vMerge w:val="continue"/>
            <w:tcBorders>
              <w:left w:val="single" w:color="auto" w:sz="4" w:space="0"/>
              <w:bottom w:val="single" w:color="auto" w:sz="4" w:space="0"/>
              <w:right w:val="single" w:color="000000" w:sz="4" w:space="0"/>
            </w:tcBorders>
            <w:noWrap w:val="0"/>
            <w:vAlign w:val="center"/>
          </w:tcPr>
          <w:p w14:paraId="4CFDDC77">
            <w:pPr>
              <w:widowControl/>
              <w:jc w:val="center"/>
              <w:textAlignment w:val="center"/>
              <w:rPr>
                <w:rFonts w:hint="eastAsia" w:ascii="宋体" w:hAnsi="宋体" w:eastAsia="宋体" w:cs="宋体"/>
                <w:color w:val="auto"/>
                <w:kern w:val="0"/>
                <w:sz w:val="24"/>
                <w:szCs w:val="24"/>
                <w:highlight w:val="none"/>
                <w:lang w:bidi="ar"/>
              </w:rPr>
            </w:pPr>
          </w:p>
        </w:tc>
        <w:tc>
          <w:tcPr>
            <w:tcW w:w="812" w:type="dxa"/>
            <w:vMerge w:val="continue"/>
            <w:tcBorders>
              <w:left w:val="single" w:color="000000" w:sz="4" w:space="0"/>
              <w:bottom w:val="single" w:color="auto" w:sz="4" w:space="0"/>
              <w:right w:val="single" w:color="000000" w:sz="4" w:space="0"/>
            </w:tcBorders>
            <w:noWrap w:val="0"/>
            <w:vAlign w:val="center"/>
          </w:tcPr>
          <w:p w14:paraId="5F31FD82">
            <w:pPr>
              <w:widowControl/>
              <w:jc w:val="center"/>
              <w:textAlignment w:val="center"/>
              <w:rPr>
                <w:rFonts w:hint="eastAsia" w:ascii="宋体" w:hAnsi="宋体" w:eastAsia="宋体" w:cs="宋体"/>
                <w:color w:val="auto"/>
                <w:kern w:val="0"/>
                <w:sz w:val="24"/>
                <w:szCs w:val="24"/>
                <w:highlight w:val="none"/>
                <w:lang w:bidi="ar"/>
              </w:rPr>
            </w:pPr>
          </w:p>
        </w:tc>
        <w:tc>
          <w:tcPr>
            <w:tcW w:w="10038" w:type="dxa"/>
            <w:gridSpan w:val="5"/>
            <w:tcBorders>
              <w:top w:val="single" w:color="000000" w:sz="4" w:space="0"/>
              <w:left w:val="single" w:color="000000" w:sz="4" w:space="0"/>
              <w:bottom w:val="single" w:color="auto" w:sz="4" w:space="0"/>
              <w:right w:val="single" w:color="000000" w:sz="4" w:space="0"/>
            </w:tcBorders>
            <w:noWrap w:val="0"/>
            <w:vAlign w:val="center"/>
          </w:tcPr>
          <w:p w14:paraId="7D517AF1">
            <w:pPr>
              <w:widowControl/>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计划完成情况自查：按养护计划认真落实，未达标扣0.5分。道路管理负责人每天17:00上报周计划完成进度，未及时上报的扣0.5分；道路主管领导每周上报周计划表完成情况，未及时上报的的扣1分。</w:t>
            </w:r>
          </w:p>
        </w:tc>
        <w:tc>
          <w:tcPr>
            <w:tcW w:w="1124" w:type="dxa"/>
            <w:tcBorders>
              <w:top w:val="single" w:color="000000" w:sz="4" w:space="0"/>
              <w:left w:val="single" w:color="000000" w:sz="4" w:space="0"/>
              <w:bottom w:val="single" w:color="auto" w:sz="4" w:space="0"/>
              <w:right w:val="single" w:color="auto" w:sz="4" w:space="0"/>
            </w:tcBorders>
            <w:noWrap/>
            <w:vAlign w:val="bottom"/>
          </w:tcPr>
          <w:p w14:paraId="2D5B0417">
            <w:pPr>
              <w:jc w:val="left"/>
              <w:rPr>
                <w:rFonts w:hint="eastAsia" w:ascii="宋体" w:hAnsi="宋体" w:eastAsia="宋体" w:cs="宋体"/>
                <w:color w:val="auto"/>
                <w:kern w:val="0"/>
                <w:sz w:val="24"/>
                <w:szCs w:val="24"/>
                <w:highlight w:val="none"/>
                <w:lang w:bidi="ar"/>
              </w:rPr>
            </w:pPr>
          </w:p>
        </w:tc>
      </w:tr>
      <w:tr w14:paraId="696890F4">
        <w:tblPrEx>
          <w:tblCellMar>
            <w:top w:w="0" w:type="dxa"/>
            <w:left w:w="108" w:type="dxa"/>
            <w:bottom w:w="0" w:type="dxa"/>
            <w:right w:w="108" w:type="dxa"/>
          </w:tblCellMar>
        </w:tblPrEx>
        <w:trPr>
          <w:trHeight w:val="1324" w:hRule="atLeast"/>
          <w:jc w:val="center"/>
        </w:trPr>
        <w:tc>
          <w:tcPr>
            <w:tcW w:w="1025" w:type="dxa"/>
            <w:vMerge w:val="restart"/>
            <w:tcBorders>
              <w:top w:val="single" w:color="auto" w:sz="4" w:space="0"/>
              <w:left w:val="single" w:color="auto" w:sz="4" w:space="0"/>
              <w:bottom w:val="single" w:color="auto" w:sz="4" w:space="0"/>
              <w:right w:val="single" w:color="000000" w:sz="4" w:space="0"/>
            </w:tcBorders>
            <w:noWrap w:val="0"/>
            <w:vAlign w:val="center"/>
          </w:tcPr>
          <w:p w14:paraId="50C93199">
            <w:pPr>
              <w:widowControl/>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乔木</w:t>
            </w:r>
          </w:p>
        </w:tc>
        <w:tc>
          <w:tcPr>
            <w:tcW w:w="812" w:type="dxa"/>
            <w:vMerge w:val="restart"/>
            <w:tcBorders>
              <w:top w:val="single" w:color="auto" w:sz="4" w:space="0"/>
              <w:left w:val="single" w:color="000000" w:sz="4" w:space="0"/>
              <w:bottom w:val="single" w:color="auto" w:sz="4" w:space="0"/>
              <w:right w:val="single" w:color="auto" w:sz="4" w:space="0"/>
            </w:tcBorders>
            <w:noWrap w:val="0"/>
            <w:vAlign w:val="center"/>
          </w:tcPr>
          <w:p w14:paraId="5E81A38D">
            <w:pPr>
              <w:widowControl/>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30</w:t>
            </w:r>
          </w:p>
        </w:tc>
        <w:tc>
          <w:tcPr>
            <w:tcW w:w="10038" w:type="dxa"/>
            <w:gridSpan w:val="5"/>
            <w:tcBorders>
              <w:top w:val="single" w:color="auto" w:sz="4" w:space="0"/>
              <w:left w:val="single" w:color="auto" w:sz="4" w:space="0"/>
              <w:right w:val="single" w:color="000000" w:sz="4" w:space="0"/>
            </w:tcBorders>
            <w:noWrap w:val="0"/>
            <w:vAlign w:val="center"/>
          </w:tcPr>
          <w:p w14:paraId="7370F811">
            <w:pPr>
              <w:widowControl/>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修剪：12分。行道树未修剪或修剪不规范，萌蘖未清除、下缘线修剪不整齐、未修剪内堂，有树挂、干枯枝、桩等视现场具体情况打分，0分未修剪，1-3分修剪较差，4-5分修剪较好，6-8分修剪规整。</w:t>
            </w:r>
          </w:p>
        </w:tc>
        <w:tc>
          <w:tcPr>
            <w:tcW w:w="1124" w:type="dxa"/>
            <w:tcBorders>
              <w:top w:val="single" w:color="auto" w:sz="4" w:space="0"/>
              <w:left w:val="single" w:color="000000" w:sz="4" w:space="0"/>
              <w:bottom w:val="single" w:color="000000" w:sz="4" w:space="0"/>
              <w:right w:val="single" w:color="auto" w:sz="4" w:space="0"/>
            </w:tcBorders>
            <w:noWrap/>
            <w:vAlign w:val="bottom"/>
          </w:tcPr>
          <w:p w14:paraId="61A9FA89">
            <w:pPr>
              <w:jc w:val="left"/>
              <w:rPr>
                <w:rFonts w:hint="eastAsia" w:ascii="宋体" w:hAnsi="宋体" w:eastAsia="宋体" w:cs="宋体"/>
                <w:color w:val="auto"/>
                <w:kern w:val="0"/>
                <w:sz w:val="24"/>
                <w:szCs w:val="24"/>
                <w:highlight w:val="none"/>
                <w:lang w:bidi="ar"/>
              </w:rPr>
            </w:pPr>
          </w:p>
        </w:tc>
      </w:tr>
      <w:tr w14:paraId="738459C6">
        <w:tblPrEx>
          <w:tblCellMar>
            <w:top w:w="0" w:type="dxa"/>
            <w:left w:w="108" w:type="dxa"/>
            <w:bottom w:w="0" w:type="dxa"/>
            <w:right w:w="108" w:type="dxa"/>
          </w:tblCellMar>
        </w:tblPrEx>
        <w:trPr>
          <w:trHeight w:val="1035" w:hRule="atLeast"/>
          <w:jc w:val="center"/>
        </w:trPr>
        <w:tc>
          <w:tcPr>
            <w:tcW w:w="1025" w:type="dxa"/>
            <w:vMerge w:val="continue"/>
            <w:tcBorders>
              <w:top w:val="single" w:color="auto" w:sz="4" w:space="0"/>
              <w:left w:val="single" w:color="auto" w:sz="4" w:space="0"/>
              <w:bottom w:val="single" w:color="auto" w:sz="4" w:space="0"/>
              <w:right w:val="single" w:color="000000" w:sz="4" w:space="0"/>
            </w:tcBorders>
            <w:noWrap w:val="0"/>
            <w:vAlign w:val="center"/>
          </w:tcPr>
          <w:p w14:paraId="5A1A9705">
            <w:pPr>
              <w:widowControl/>
              <w:jc w:val="center"/>
              <w:textAlignment w:val="center"/>
              <w:rPr>
                <w:rFonts w:hint="eastAsia" w:ascii="宋体" w:hAnsi="宋体" w:eastAsia="宋体" w:cs="宋体"/>
                <w:color w:val="auto"/>
                <w:kern w:val="0"/>
                <w:sz w:val="24"/>
                <w:szCs w:val="24"/>
                <w:highlight w:val="none"/>
                <w:lang w:val="en-US" w:eastAsia="zh-CN" w:bidi="ar"/>
              </w:rPr>
            </w:pPr>
          </w:p>
        </w:tc>
        <w:tc>
          <w:tcPr>
            <w:tcW w:w="812" w:type="dxa"/>
            <w:vMerge w:val="continue"/>
            <w:tcBorders>
              <w:top w:val="single" w:color="auto" w:sz="4" w:space="0"/>
              <w:left w:val="single" w:color="000000" w:sz="4" w:space="0"/>
              <w:bottom w:val="single" w:color="auto" w:sz="4" w:space="0"/>
              <w:right w:val="single" w:color="auto" w:sz="4" w:space="0"/>
            </w:tcBorders>
            <w:noWrap w:val="0"/>
            <w:vAlign w:val="center"/>
          </w:tcPr>
          <w:p w14:paraId="143875B3">
            <w:pPr>
              <w:widowControl/>
              <w:jc w:val="center"/>
              <w:textAlignment w:val="center"/>
              <w:rPr>
                <w:rFonts w:hint="eastAsia" w:ascii="宋体" w:hAnsi="宋体" w:eastAsia="宋体" w:cs="宋体"/>
                <w:color w:val="auto"/>
                <w:kern w:val="0"/>
                <w:sz w:val="24"/>
                <w:szCs w:val="24"/>
                <w:highlight w:val="none"/>
                <w:lang w:bidi="ar"/>
              </w:rPr>
            </w:pPr>
          </w:p>
        </w:tc>
        <w:tc>
          <w:tcPr>
            <w:tcW w:w="10038" w:type="dxa"/>
            <w:gridSpan w:val="5"/>
            <w:tcBorders>
              <w:top w:val="single" w:color="000000" w:sz="4" w:space="0"/>
              <w:left w:val="single" w:color="auto" w:sz="4" w:space="0"/>
              <w:bottom w:val="single" w:color="000000" w:sz="4" w:space="0"/>
              <w:right w:val="single" w:color="000000" w:sz="4" w:space="0"/>
            </w:tcBorders>
            <w:noWrap w:val="0"/>
            <w:vAlign w:val="center"/>
          </w:tcPr>
          <w:p w14:paraId="3C7E51BD">
            <w:pPr>
              <w:widowControl/>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施肥浇水：5分。施肥、浇水不及时（或施肥、浇水不当）导致乔木生长不良或者死亡等视现场具体情况打分，0分未施肥浇水，1-3分施肥浇水效果一般，4-5分施肥浇水效果较好。</w:t>
            </w:r>
          </w:p>
        </w:tc>
        <w:tc>
          <w:tcPr>
            <w:tcW w:w="1124" w:type="dxa"/>
            <w:tcBorders>
              <w:top w:val="single" w:color="000000" w:sz="4" w:space="0"/>
              <w:left w:val="single" w:color="000000" w:sz="4" w:space="0"/>
              <w:bottom w:val="single" w:color="000000" w:sz="4" w:space="0"/>
              <w:right w:val="single" w:color="auto" w:sz="4" w:space="0"/>
            </w:tcBorders>
            <w:noWrap/>
            <w:vAlign w:val="bottom"/>
          </w:tcPr>
          <w:p w14:paraId="49ED7CA2">
            <w:pPr>
              <w:jc w:val="left"/>
              <w:rPr>
                <w:rFonts w:hint="eastAsia" w:ascii="宋体" w:hAnsi="宋体" w:eastAsia="宋体" w:cs="宋体"/>
                <w:color w:val="auto"/>
                <w:kern w:val="0"/>
                <w:sz w:val="24"/>
                <w:szCs w:val="24"/>
                <w:highlight w:val="none"/>
                <w:lang w:bidi="ar"/>
              </w:rPr>
            </w:pPr>
          </w:p>
        </w:tc>
      </w:tr>
      <w:tr w14:paraId="7DFFB593">
        <w:tblPrEx>
          <w:tblCellMar>
            <w:top w:w="0" w:type="dxa"/>
            <w:left w:w="108" w:type="dxa"/>
            <w:bottom w:w="0" w:type="dxa"/>
            <w:right w:w="108" w:type="dxa"/>
          </w:tblCellMar>
        </w:tblPrEx>
        <w:trPr>
          <w:trHeight w:val="698" w:hRule="atLeast"/>
          <w:jc w:val="center"/>
        </w:trPr>
        <w:tc>
          <w:tcPr>
            <w:tcW w:w="1025" w:type="dxa"/>
            <w:vMerge w:val="continue"/>
            <w:tcBorders>
              <w:top w:val="single" w:color="auto" w:sz="4" w:space="0"/>
              <w:left w:val="single" w:color="auto" w:sz="4" w:space="0"/>
              <w:bottom w:val="single" w:color="auto" w:sz="4" w:space="0"/>
              <w:right w:val="single" w:color="000000" w:sz="4" w:space="0"/>
            </w:tcBorders>
            <w:noWrap w:val="0"/>
            <w:vAlign w:val="center"/>
          </w:tcPr>
          <w:p w14:paraId="2EFAAA66">
            <w:pPr>
              <w:widowControl/>
              <w:jc w:val="center"/>
              <w:textAlignment w:val="center"/>
              <w:rPr>
                <w:rFonts w:hint="eastAsia" w:ascii="宋体" w:hAnsi="宋体" w:eastAsia="宋体" w:cs="宋体"/>
                <w:color w:val="auto"/>
                <w:kern w:val="0"/>
                <w:sz w:val="24"/>
                <w:szCs w:val="24"/>
                <w:highlight w:val="none"/>
                <w:lang w:val="en-US" w:eastAsia="zh-CN" w:bidi="ar"/>
              </w:rPr>
            </w:pPr>
          </w:p>
        </w:tc>
        <w:tc>
          <w:tcPr>
            <w:tcW w:w="812" w:type="dxa"/>
            <w:vMerge w:val="continue"/>
            <w:tcBorders>
              <w:top w:val="single" w:color="auto" w:sz="4" w:space="0"/>
              <w:left w:val="single" w:color="000000" w:sz="4" w:space="0"/>
              <w:bottom w:val="single" w:color="auto" w:sz="4" w:space="0"/>
              <w:right w:val="single" w:color="auto" w:sz="4" w:space="0"/>
            </w:tcBorders>
            <w:noWrap w:val="0"/>
            <w:vAlign w:val="center"/>
          </w:tcPr>
          <w:p w14:paraId="3C8B7770">
            <w:pPr>
              <w:widowControl/>
              <w:jc w:val="center"/>
              <w:textAlignment w:val="center"/>
              <w:rPr>
                <w:rFonts w:hint="eastAsia" w:ascii="宋体" w:hAnsi="宋体" w:eastAsia="宋体" w:cs="宋体"/>
                <w:color w:val="auto"/>
                <w:kern w:val="0"/>
                <w:sz w:val="24"/>
                <w:szCs w:val="24"/>
                <w:highlight w:val="none"/>
                <w:lang w:bidi="ar"/>
              </w:rPr>
            </w:pPr>
          </w:p>
        </w:tc>
        <w:tc>
          <w:tcPr>
            <w:tcW w:w="10038" w:type="dxa"/>
            <w:gridSpan w:val="5"/>
            <w:tcBorders>
              <w:top w:val="single" w:color="000000" w:sz="4" w:space="0"/>
              <w:left w:val="single" w:color="auto" w:sz="4" w:space="0"/>
              <w:bottom w:val="single" w:color="000000" w:sz="4" w:space="0"/>
              <w:right w:val="single" w:color="000000" w:sz="4" w:space="0"/>
            </w:tcBorders>
            <w:noWrap w:val="0"/>
            <w:vAlign w:val="center"/>
          </w:tcPr>
          <w:p w14:paraId="00E4C388">
            <w:pPr>
              <w:widowControl/>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病虫害防治：5分。乔木有病虫害，每株扣0.2分；路段发生病虫害面积超10%时，扣1分。</w:t>
            </w:r>
          </w:p>
        </w:tc>
        <w:tc>
          <w:tcPr>
            <w:tcW w:w="1124" w:type="dxa"/>
            <w:tcBorders>
              <w:top w:val="single" w:color="000000" w:sz="4" w:space="0"/>
              <w:left w:val="single" w:color="000000" w:sz="4" w:space="0"/>
              <w:bottom w:val="single" w:color="000000" w:sz="4" w:space="0"/>
              <w:right w:val="single" w:color="auto" w:sz="4" w:space="0"/>
            </w:tcBorders>
            <w:noWrap/>
            <w:vAlign w:val="bottom"/>
          </w:tcPr>
          <w:p w14:paraId="2447CD46">
            <w:pPr>
              <w:jc w:val="left"/>
              <w:rPr>
                <w:rFonts w:hint="eastAsia" w:ascii="宋体" w:hAnsi="宋体" w:eastAsia="宋体" w:cs="宋体"/>
                <w:color w:val="auto"/>
                <w:kern w:val="0"/>
                <w:sz w:val="24"/>
                <w:szCs w:val="24"/>
                <w:highlight w:val="none"/>
                <w:lang w:bidi="ar"/>
              </w:rPr>
            </w:pPr>
          </w:p>
        </w:tc>
      </w:tr>
      <w:tr w14:paraId="00B061E8">
        <w:tblPrEx>
          <w:tblCellMar>
            <w:top w:w="0" w:type="dxa"/>
            <w:left w:w="108" w:type="dxa"/>
            <w:bottom w:w="0" w:type="dxa"/>
            <w:right w:w="108" w:type="dxa"/>
          </w:tblCellMar>
        </w:tblPrEx>
        <w:trPr>
          <w:trHeight w:val="1373" w:hRule="atLeast"/>
          <w:jc w:val="center"/>
        </w:trPr>
        <w:tc>
          <w:tcPr>
            <w:tcW w:w="1025" w:type="dxa"/>
            <w:vMerge w:val="continue"/>
            <w:tcBorders>
              <w:top w:val="single" w:color="auto" w:sz="4" w:space="0"/>
              <w:left w:val="single" w:color="auto" w:sz="4" w:space="0"/>
              <w:bottom w:val="single" w:color="auto" w:sz="4" w:space="0"/>
              <w:right w:val="single" w:color="000000" w:sz="4" w:space="0"/>
            </w:tcBorders>
            <w:noWrap w:val="0"/>
            <w:vAlign w:val="center"/>
          </w:tcPr>
          <w:p w14:paraId="5136131D">
            <w:pPr>
              <w:jc w:val="center"/>
              <w:rPr>
                <w:rFonts w:hint="eastAsia" w:ascii="宋体" w:hAnsi="宋体" w:eastAsia="宋体" w:cs="宋体"/>
                <w:color w:val="auto"/>
                <w:kern w:val="0"/>
                <w:sz w:val="24"/>
                <w:szCs w:val="24"/>
                <w:highlight w:val="none"/>
                <w:lang w:val="en-US" w:eastAsia="zh-CN" w:bidi="ar"/>
              </w:rPr>
            </w:pPr>
          </w:p>
        </w:tc>
        <w:tc>
          <w:tcPr>
            <w:tcW w:w="812" w:type="dxa"/>
            <w:vMerge w:val="continue"/>
            <w:tcBorders>
              <w:top w:val="single" w:color="auto" w:sz="4" w:space="0"/>
              <w:left w:val="single" w:color="000000" w:sz="4" w:space="0"/>
              <w:bottom w:val="single" w:color="auto" w:sz="4" w:space="0"/>
              <w:right w:val="single" w:color="auto" w:sz="4" w:space="0"/>
            </w:tcBorders>
            <w:noWrap w:val="0"/>
            <w:vAlign w:val="center"/>
          </w:tcPr>
          <w:p w14:paraId="1A5E23CB">
            <w:pPr>
              <w:jc w:val="center"/>
              <w:rPr>
                <w:rFonts w:hint="eastAsia" w:ascii="宋体" w:hAnsi="宋体" w:eastAsia="宋体" w:cs="宋体"/>
                <w:color w:val="auto"/>
                <w:kern w:val="0"/>
                <w:sz w:val="24"/>
                <w:szCs w:val="24"/>
                <w:highlight w:val="none"/>
                <w:lang w:bidi="ar"/>
              </w:rPr>
            </w:pPr>
          </w:p>
        </w:tc>
        <w:tc>
          <w:tcPr>
            <w:tcW w:w="10038" w:type="dxa"/>
            <w:gridSpan w:val="5"/>
            <w:tcBorders>
              <w:top w:val="single" w:color="000000" w:sz="4" w:space="0"/>
              <w:left w:val="single" w:color="auto" w:sz="4" w:space="0"/>
              <w:bottom w:val="single" w:color="auto" w:sz="4" w:space="0"/>
              <w:right w:val="single" w:color="000000" w:sz="4" w:space="0"/>
            </w:tcBorders>
            <w:noWrap w:val="0"/>
            <w:vAlign w:val="center"/>
          </w:tcPr>
          <w:p w14:paraId="2C0EFA22">
            <w:pPr>
              <w:widowControl/>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其他：8分。树木倒伏，支撑凌乱，树干上有钉子等缠绕物，每株扣0.5分；新栽乔木超过1年养护期，草绳破损未清除的，每株扣0.2分；树池内植物长势差、树池杂草或有明显寄生植物攀附清理不及时，每株扣0.5分；树池篦子放置不规范、破损的，每处扣0.2分。</w:t>
            </w:r>
          </w:p>
        </w:tc>
        <w:tc>
          <w:tcPr>
            <w:tcW w:w="1124" w:type="dxa"/>
            <w:tcBorders>
              <w:top w:val="single" w:color="000000" w:sz="4" w:space="0"/>
              <w:left w:val="single" w:color="000000" w:sz="4" w:space="0"/>
              <w:bottom w:val="single" w:color="auto" w:sz="4" w:space="0"/>
              <w:right w:val="single" w:color="auto" w:sz="4" w:space="0"/>
            </w:tcBorders>
            <w:noWrap/>
            <w:vAlign w:val="bottom"/>
          </w:tcPr>
          <w:p w14:paraId="6011BF2B">
            <w:pPr>
              <w:jc w:val="left"/>
              <w:rPr>
                <w:rFonts w:hint="eastAsia" w:ascii="宋体" w:hAnsi="宋体" w:eastAsia="宋体" w:cs="宋体"/>
                <w:color w:val="auto"/>
                <w:kern w:val="0"/>
                <w:sz w:val="24"/>
                <w:szCs w:val="24"/>
                <w:highlight w:val="none"/>
                <w:lang w:bidi="ar"/>
              </w:rPr>
            </w:pPr>
          </w:p>
        </w:tc>
      </w:tr>
      <w:tr w14:paraId="337EF1AE">
        <w:tblPrEx>
          <w:tblCellMar>
            <w:top w:w="0" w:type="dxa"/>
            <w:left w:w="108" w:type="dxa"/>
            <w:bottom w:w="0" w:type="dxa"/>
            <w:right w:w="108" w:type="dxa"/>
          </w:tblCellMar>
        </w:tblPrEx>
        <w:trPr>
          <w:trHeight w:val="1447" w:hRule="atLeast"/>
          <w:jc w:val="center"/>
        </w:trPr>
        <w:tc>
          <w:tcPr>
            <w:tcW w:w="1025" w:type="dxa"/>
            <w:vMerge w:val="restart"/>
            <w:tcBorders>
              <w:top w:val="single" w:color="auto" w:sz="4" w:space="0"/>
              <w:left w:val="single" w:color="auto" w:sz="4" w:space="0"/>
              <w:bottom w:val="single" w:color="auto" w:sz="4" w:space="0"/>
              <w:right w:val="single" w:color="000000" w:sz="4" w:space="0"/>
            </w:tcBorders>
            <w:noWrap w:val="0"/>
            <w:vAlign w:val="center"/>
          </w:tcPr>
          <w:p w14:paraId="1217A664">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灌木</w:t>
            </w:r>
          </w:p>
          <w:p w14:paraId="01B5399B">
            <w:pPr>
              <w:jc w:val="center"/>
              <w:rPr>
                <w:rFonts w:hint="eastAsia" w:ascii="宋体" w:hAnsi="宋体" w:eastAsia="宋体" w:cs="宋体"/>
                <w:kern w:val="0"/>
                <w:sz w:val="24"/>
                <w:szCs w:val="24"/>
                <w:highlight w:val="none"/>
                <w:lang w:val="en-US" w:eastAsia="zh-CN"/>
              </w:rPr>
            </w:pPr>
          </w:p>
        </w:tc>
        <w:tc>
          <w:tcPr>
            <w:tcW w:w="812" w:type="dxa"/>
            <w:vMerge w:val="restart"/>
            <w:tcBorders>
              <w:top w:val="single" w:color="auto" w:sz="4" w:space="0"/>
              <w:left w:val="single" w:color="000000" w:sz="4" w:space="0"/>
              <w:bottom w:val="single" w:color="auto" w:sz="4" w:space="0"/>
              <w:right w:val="single" w:color="auto" w:sz="4" w:space="0"/>
            </w:tcBorders>
            <w:noWrap w:val="0"/>
            <w:vAlign w:val="center"/>
          </w:tcPr>
          <w:p w14:paraId="3D8D634A">
            <w:pPr>
              <w:jc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30</w:t>
            </w:r>
          </w:p>
        </w:tc>
        <w:tc>
          <w:tcPr>
            <w:tcW w:w="10038" w:type="dxa"/>
            <w:gridSpan w:val="5"/>
            <w:tcBorders>
              <w:top w:val="single" w:color="auto" w:sz="4" w:space="0"/>
              <w:left w:val="single" w:color="auto" w:sz="4" w:space="0"/>
              <w:right w:val="single" w:color="000000" w:sz="4" w:space="0"/>
            </w:tcBorders>
            <w:noWrap w:val="0"/>
            <w:vAlign w:val="center"/>
          </w:tcPr>
          <w:p w14:paraId="46474B9D">
            <w:pPr>
              <w:widowControl/>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清掏：9分。灌木内落叶、垃圾清掏不彻底、未除杂草、有攀附或寄生植物清理不及等视现场具体情况打分，0分未清掏，1-3分清掏不到位，4-5分清掏彻底。</w:t>
            </w:r>
          </w:p>
        </w:tc>
        <w:tc>
          <w:tcPr>
            <w:tcW w:w="1124" w:type="dxa"/>
            <w:tcBorders>
              <w:top w:val="single" w:color="auto" w:sz="4" w:space="0"/>
              <w:left w:val="single" w:color="000000" w:sz="4" w:space="0"/>
              <w:bottom w:val="single" w:color="000000" w:sz="4" w:space="0"/>
              <w:right w:val="single" w:color="auto" w:sz="4" w:space="0"/>
            </w:tcBorders>
            <w:noWrap/>
            <w:vAlign w:val="bottom"/>
          </w:tcPr>
          <w:p w14:paraId="12E3113A">
            <w:pPr>
              <w:jc w:val="left"/>
              <w:rPr>
                <w:rFonts w:hint="eastAsia" w:ascii="宋体" w:hAnsi="宋体" w:eastAsia="宋体" w:cs="宋体"/>
                <w:color w:val="auto"/>
                <w:kern w:val="0"/>
                <w:sz w:val="24"/>
                <w:szCs w:val="24"/>
                <w:highlight w:val="none"/>
                <w:lang w:bidi="ar"/>
              </w:rPr>
            </w:pPr>
          </w:p>
        </w:tc>
      </w:tr>
      <w:tr w14:paraId="3B58FACE">
        <w:tblPrEx>
          <w:tblCellMar>
            <w:top w:w="0" w:type="dxa"/>
            <w:left w:w="108" w:type="dxa"/>
            <w:bottom w:w="0" w:type="dxa"/>
            <w:right w:w="108" w:type="dxa"/>
          </w:tblCellMar>
        </w:tblPrEx>
        <w:trPr>
          <w:trHeight w:val="698" w:hRule="atLeast"/>
          <w:jc w:val="center"/>
        </w:trPr>
        <w:tc>
          <w:tcPr>
            <w:tcW w:w="1025" w:type="dxa"/>
            <w:vMerge w:val="continue"/>
            <w:tcBorders>
              <w:top w:val="single" w:color="auto" w:sz="4" w:space="0"/>
              <w:left w:val="single" w:color="auto" w:sz="4" w:space="0"/>
              <w:bottom w:val="single" w:color="auto" w:sz="4" w:space="0"/>
              <w:right w:val="single" w:color="000000" w:sz="4" w:space="0"/>
            </w:tcBorders>
            <w:noWrap w:val="0"/>
            <w:vAlign w:val="center"/>
          </w:tcPr>
          <w:p w14:paraId="1DDCE19F">
            <w:pPr>
              <w:jc w:val="center"/>
              <w:rPr>
                <w:rFonts w:hint="eastAsia" w:ascii="宋体" w:hAnsi="宋体" w:eastAsia="宋体" w:cs="宋体"/>
                <w:kern w:val="0"/>
                <w:sz w:val="24"/>
                <w:szCs w:val="24"/>
                <w:highlight w:val="none"/>
              </w:rPr>
            </w:pPr>
          </w:p>
        </w:tc>
        <w:tc>
          <w:tcPr>
            <w:tcW w:w="812" w:type="dxa"/>
            <w:vMerge w:val="continue"/>
            <w:tcBorders>
              <w:top w:val="single" w:color="auto" w:sz="4" w:space="0"/>
              <w:left w:val="single" w:color="000000" w:sz="4" w:space="0"/>
              <w:bottom w:val="single" w:color="auto" w:sz="4" w:space="0"/>
              <w:right w:val="single" w:color="auto" w:sz="4" w:space="0"/>
            </w:tcBorders>
            <w:noWrap w:val="0"/>
            <w:vAlign w:val="center"/>
          </w:tcPr>
          <w:p w14:paraId="37501AD2">
            <w:pPr>
              <w:jc w:val="center"/>
              <w:rPr>
                <w:rFonts w:hint="eastAsia" w:ascii="宋体" w:hAnsi="宋体" w:eastAsia="宋体" w:cs="宋体"/>
                <w:color w:val="auto"/>
                <w:kern w:val="0"/>
                <w:sz w:val="24"/>
                <w:szCs w:val="24"/>
                <w:highlight w:val="none"/>
                <w:lang w:val="en-US" w:eastAsia="zh-CN" w:bidi="ar"/>
              </w:rPr>
            </w:pPr>
          </w:p>
        </w:tc>
        <w:tc>
          <w:tcPr>
            <w:tcW w:w="10038" w:type="dxa"/>
            <w:gridSpan w:val="5"/>
            <w:tcBorders>
              <w:top w:val="single" w:color="000000" w:sz="4" w:space="0"/>
              <w:left w:val="single" w:color="auto" w:sz="4" w:space="0"/>
              <w:bottom w:val="single" w:color="000000" w:sz="4" w:space="0"/>
              <w:right w:val="single" w:color="000000" w:sz="4" w:space="0"/>
            </w:tcBorders>
            <w:noWrap w:val="0"/>
            <w:vAlign w:val="center"/>
          </w:tcPr>
          <w:p w14:paraId="1D629C96">
            <w:pPr>
              <w:widowControl/>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修剪：12分。未修剪、绿篱修剪不规范等视现场具体情况打分，0分未修剪，1-3分修剪较差，4-5分修剪较好，6-8分修剪规整。</w:t>
            </w:r>
          </w:p>
        </w:tc>
        <w:tc>
          <w:tcPr>
            <w:tcW w:w="1124" w:type="dxa"/>
            <w:tcBorders>
              <w:top w:val="single" w:color="000000" w:sz="4" w:space="0"/>
              <w:left w:val="single" w:color="000000" w:sz="4" w:space="0"/>
              <w:bottom w:val="single" w:color="000000" w:sz="4" w:space="0"/>
              <w:right w:val="single" w:color="auto" w:sz="4" w:space="0"/>
            </w:tcBorders>
            <w:noWrap/>
            <w:vAlign w:val="bottom"/>
          </w:tcPr>
          <w:p w14:paraId="780B2FCF">
            <w:pPr>
              <w:jc w:val="left"/>
              <w:rPr>
                <w:rFonts w:hint="eastAsia" w:ascii="宋体" w:hAnsi="宋体" w:eastAsia="宋体" w:cs="宋体"/>
                <w:color w:val="auto"/>
                <w:kern w:val="0"/>
                <w:sz w:val="24"/>
                <w:szCs w:val="24"/>
                <w:highlight w:val="none"/>
                <w:lang w:bidi="ar"/>
              </w:rPr>
            </w:pPr>
          </w:p>
        </w:tc>
      </w:tr>
      <w:tr w14:paraId="18FD0F5E">
        <w:tblPrEx>
          <w:tblCellMar>
            <w:top w:w="0" w:type="dxa"/>
            <w:left w:w="108" w:type="dxa"/>
            <w:bottom w:w="0" w:type="dxa"/>
            <w:right w:w="108" w:type="dxa"/>
          </w:tblCellMar>
        </w:tblPrEx>
        <w:trPr>
          <w:trHeight w:val="1373" w:hRule="atLeast"/>
          <w:jc w:val="center"/>
        </w:trPr>
        <w:tc>
          <w:tcPr>
            <w:tcW w:w="1025" w:type="dxa"/>
            <w:vMerge w:val="continue"/>
            <w:tcBorders>
              <w:top w:val="single" w:color="auto" w:sz="4" w:space="0"/>
              <w:left w:val="single" w:color="auto" w:sz="4" w:space="0"/>
              <w:bottom w:val="single" w:color="auto" w:sz="4" w:space="0"/>
              <w:right w:val="single" w:color="000000" w:sz="4" w:space="0"/>
            </w:tcBorders>
            <w:noWrap w:val="0"/>
            <w:vAlign w:val="center"/>
          </w:tcPr>
          <w:p w14:paraId="288C791C">
            <w:pPr>
              <w:jc w:val="center"/>
              <w:rPr>
                <w:rFonts w:hint="eastAsia" w:ascii="宋体" w:hAnsi="宋体" w:eastAsia="宋体" w:cs="宋体"/>
                <w:sz w:val="24"/>
                <w:szCs w:val="24"/>
                <w:highlight w:val="none"/>
                <w:lang w:val="en-US" w:eastAsia="zh-CN"/>
              </w:rPr>
            </w:pPr>
          </w:p>
        </w:tc>
        <w:tc>
          <w:tcPr>
            <w:tcW w:w="812" w:type="dxa"/>
            <w:vMerge w:val="continue"/>
            <w:tcBorders>
              <w:top w:val="single" w:color="auto" w:sz="4" w:space="0"/>
              <w:left w:val="single" w:color="000000" w:sz="4" w:space="0"/>
              <w:bottom w:val="single" w:color="auto" w:sz="4" w:space="0"/>
              <w:right w:val="single" w:color="auto" w:sz="4" w:space="0"/>
            </w:tcBorders>
            <w:noWrap w:val="0"/>
            <w:vAlign w:val="center"/>
          </w:tcPr>
          <w:p w14:paraId="21AFAFB5">
            <w:pPr>
              <w:jc w:val="center"/>
              <w:rPr>
                <w:rFonts w:hint="eastAsia" w:ascii="宋体" w:hAnsi="宋体" w:eastAsia="宋体" w:cs="宋体"/>
                <w:color w:val="auto"/>
                <w:kern w:val="0"/>
                <w:sz w:val="24"/>
                <w:szCs w:val="24"/>
                <w:highlight w:val="none"/>
                <w:lang w:bidi="ar"/>
              </w:rPr>
            </w:pPr>
          </w:p>
        </w:tc>
        <w:tc>
          <w:tcPr>
            <w:tcW w:w="10038" w:type="dxa"/>
            <w:gridSpan w:val="5"/>
            <w:tcBorders>
              <w:top w:val="single" w:color="000000" w:sz="4" w:space="0"/>
              <w:left w:val="single" w:color="auto" w:sz="4" w:space="0"/>
              <w:bottom w:val="single" w:color="000000" w:sz="4" w:space="0"/>
              <w:right w:val="single" w:color="000000" w:sz="4" w:space="0"/>
            </w:tcBorders>
            <w:noWrap w:val="0"/>
            <w:vAlign w:val="center"/>
          </w:tcPr>
          <w:p w14:paraId="2E205D63">
            <w:pPr>
              <w:widowControl/>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施肥、浇水冲洗：5分。施肥、浇水不及时（或施肥、浇水不当）导致植物生长不良或者死亡；冲洗清理不及时，积尘影响枝叶色泽；绿篱、落叶等视现场具体情况打分，0分未施肥浇水，1-3分施肥浇水效果一般，4-5分施肥浇水效果较好。</w:t>
            </w:r>
          </w:p>
        </w:tc>
        <w:tc>
          <w:tcPr>
            <w:tcW w:w="1124" w:type="dxa"/>
            <w:tcBorders>
              <w:top w:val="single" w:color="000000" w:sz="4" w:space="0"/>
              <w:left w:val="single" w:color="000000" w:sz="4" w:space="0"/>
              <w:bottom w:val="single" w:color="000000" w:sz="4" w:space="0"/>
              <w:right w:val="single" w:color="auto" w:sz="4" w:space="0"/>
            </w:tcBorders>
            <w:noWrap/>
            <w:vAlign w:val="bottom"/>
          </w:tcPr>
          <w:p w14:paraId="4E24CB8E">
            <w:pPr>
              <w:jc w:val="left"/>
              <w:rPr>
                <w:rFonts w:hint="eastAsia" w:ascii="宋体" w:hAnsi="宋体" w:eastAsia="宋体" w:cs="宋体"/>
                <w:color w:val="auto"/>
                <w:kern w:val="0"/>
                <w:sz w:val="24"/>
                <w:szCs w:val="24"/>
                <w:highlight w:val="none"/>
                <w:lang w:bidi="ar"/>
              </w:rPr>
            </w:pPr>
          </w:p>
        </w:tc>
      </w:tr>
      <w:tr w14:paraId="3AD12F80">
        <w:tblPrEx>
          <w:tblCellMar>
            <w:top w:w="0" w:type="dxa"/>
            <w:left w:w="108" w:type="dxa"/>
            <w:bottom w:w="0" w:type="dxa"/>
            <w:right w:w="108" w:type="dxa"/>
          </w:tblCellMar>
        </w:tblPrEx>
        <w:trPr>
          <w:trHeight w:val="698" w:hRule="atLeast"/>
          <w:jc w:val="center"/>
        </w:trPr>
        <w:tc>
          <w:tcPr>
            <w:tcW w:w="1025" w:type="dxa"/>
            <w:vMerge w:val="continue"/>
            <w:tcBorders>
              <w:top w:val="single" w:color="auto" w:sz="4" w:space="0"/>
              <w:left w:val="single" w:color="auto" w:sz="4" w:space="0"/>
              <w:bottom w:val="single" w:color="auto" w:sz="4" w:space="0"/>
              <w:right w:val="single" w:color="000000" w:sz="4" w:space="0"/>
            </w:tcBorders>
            <w:noWrap w:val="0"/>
            <w:vAlign w:val="center"/>
          </w:tcPr>
          <w:p w14:paraId="3745D6D8">
            <w:pPr>
              <w:jc w:val="center"/>
              <w:rPr>
                <w:rFonts w:hint="eastAsia" w:ascii="宋体" w:hAnsi="宋体" w:eastAsia="宋体" w:cs="宋体"/>
                <w:sz w:val="24"/>
                <w:szCs w:val="24"/>
                <w:highlight w:val="none"/>
                <w:lang w:val="en-US" w:eastAsia="zh-CN"/>
              </w:rPr>
            </w:pPr>
          </w:p>
        </w:tc>
        <w:tc>
          <w:tcPr>
            <w:tcW w:w="812" w:type="dxa"/>
            <w:vMerge w:val="continue"/>
            <w:tcBorders>
              <w:top w:val="single" w:color="auto" w:sz="4" w:space="0"/>
              <w:left w:val="single" w:color="000000" w:sz="4" w:space="0"/>
              <w:bottom w:val="single" w:color="auto" w:sz="4" w:space="0"/>
              <w:right w:val="single" w:color="auto" w:sz="4" w:space="0"/>
            </w:tcBorders>
            <w:noWrap w:val="0"/>
            <w:vAlign w:val="center"/>
          </w:tcPr>
          <w:p w14:paraId="0E4181A3">
            <w:pPr>
              <w:jc w:val="center"/>
              <w:rPr>
                <w:rFonts w:hint="eastAsia" w:ascii="宋体" w:hAnsi="宋体" w:eastAsia="宋体" w:cs="宋体"/>
                <w:color w:val="auto"/>
                <w:kern w:val="0"/>
                <w:sz w:val="24"/>
                <w:szCs w:val="24"/>
                <w:highlight w:val="none"/>
                <w:lang w:bidi="ar"/>
              </w:rPr>
            </w:pPr>
          </w:p>
        </w:tc>
        <w:tc>
          <w:tcPr>
            <w:tcW w:w="10038" w:type="dxa"/>
            <w:gridSpan w:val="5"/>
            <w:tcBorders>
              <w:top w:val="single" w:color="000000" w:sz="4" w:space="0"/>
              <w:left w:val="single" w:color="auto" w:sz="4" w:space="0"/>
              <w:bottom w:val="single" w:color="000000" w:sz="4" w:space="0"/>
              <w:right w:val="single" w:color="000000" w:sz="4" w:space="0"/>
            </w:tcBorders>
            <w:noWrap w:val="0"/>
            <w:vAlign w:val="center"/>
          </w:tcPr>
          <w:p w14:paraId="54F67F02">
            <w:pPr>
              <w:widowControl/>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病虫害防治：4分。苗木有病虫害，个体受害程度10%以上，每处扣1分；路段发生病虫害面积超10%时，扣2分。</w:t>
            </w:r>
          </w:p>
        </w:tc>
        <w:tc>
          <w:tcPr>
            <w:tcW w:w="1124" w:type="dxa"/>
            <w:tcBorders>
              <w:top w:val="single" w:color="000000" w:sz="4" w:space="0"/>
              <w:left w:val="single" w:color="000000" w:sz="4" w:space="0"/>
              <w:bottom w:val="single" w:color="000000" w:sz="4" w:space="0"/>
              <w:right w:val="single" w:color="auto" w:sz="4" w:space="0"/>
            </w:tcBorders>
            <w:noWrap/>
            <w:vAlign w:val="bottom"/>
          </w:tcPr>
          <w:p w14:paraId="60FBD772">
            <w:pPr>
              <w:jc w:val="left"/>
              <w:rPr>
                <w:rFonts w:hint="eastAsia" w:ascii="宋体" w:hAnsi="宋体" w:eastAsia="宋体" w:cs="宋体"/>
                <w:color w:val="auto"/>
                <w:kern w:val="0"/>
                <w:sz w:val="24"/>
                <w:szCs w:val="24"/>
                <w:highlight w:val="none"/>
                <w:lang w:bidi="ar"/>
              </w:rPr>
            </w:pPr>
          </w:p>
        </w:tc>
      </w:tr>
      <w:tr w14:paraId="3B6B4001">
        <w:tblPrEx>
          <w:tblCellMar>
            <w:top w:w="0" w:type="dxa"/>
            <w:left w:w="108" w:type="dxa"/>
            <w:bottom w:w="0" w:type="dxa"/>
            <w:right w:w="108" w:type="dxa"/>
          </w:tblCellMar>
        </w:tblPrEx>
        <w:trPr>
          <w:trHeight w:val="1035" w:hRule="atLeast"/>
          <w:jc w:val="center"/>
        </w:trPr>
        <w:tc>
          <w:tcPr>
            <w:tcW w:w="1025" w:type="dxa"/>
            <w:vMerge w:val="restart"/>
            <w:tcBorders>
              <w:top w:val="single" w:color="auto" w:sz="4" w:space="0"/>
              <w:left w:val="single" w:color="auto" w:sz="4" w:space="0"/>
              <w:bottom w:val="single" w:color="auto" w:sz="4" w:space="0"/>
              <w:right w:val="single" w:color="000000" w:sz="4" w:space="0"/>
            </w:tcBorders>
            <w:noWrap w:val="0"/>
            <w:vAlign w:val="center"/>
          </w:tcPr>
          <w:p w14:paraId="3CD9CEFE">
            <w:pPr>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地被</w:t>
            </w:r>
          </w:p>
        </w:tc>
        <w:tc>
          <w:tcPr>
            <w:tcW w:w="4168" w:type="dxa"/>
            <w:gridSpan w:val="2"/>
            <w:vMerge w:val="restart"/>
            <w:tcBorders>
              <w:top w:val="single" w:color="auto" w:sz="4" w:space="0"/>
              <w:left w:val="single" w:color="000000" w:sz="4" w:space="0"/>
              <w:bottom w:val="single" w:color="auto" w:sz="4" w:space="0"/>
              <w:right w:val="single" w:color="000000" w:sz="4" w:space="0"/>
            </w:tcBorders>
            <w:noWrap w:val="0"/>
            <w:vAlign w:val="center"/>
          </w:tcPr>
          <w:p w14:paraId="50E681EC">
            <w:pPr>
              <w:jc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30</w:t>
            </w:r>
          </w:p>
        </w:tc>
        <w:tc>
          <w:tcPr>
            <w:tcW w:w="6682" w:type="dxa"/>
            <w:gridSpan w:val="4"/>
            <w:tcBorders>
              <w:top w:val="single" w:color="000000" w:sz="4" w:space="0"/>
              <w:left w:val="single" w:color="000000" w:sz="4" w:space="0"/>
              <w:right w:val="single" w:color="000000" w:sz="4" w:space="0"/>
            </w:tcBorders>
            <w:noWrap w:val="0"/>
            <w:vAlign w:val="center"/>
          </w:tcPr>
          <w:p w14:paraId="221A5AD8">
            <w:pPr>
              <w:widowControl/>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清掏：9分。绿地内有垃圾、落叶等视现场具体情况打分，0分未清掏，1-3分清掏不到位，4-5分清掏彻底。</w:t>
            </w:r>
          </w:p>
        </w:tc>
        <w:tc>
          <w:tcPr>
            <w:tcW w:w="1124" w:type="dxa"/>
            <w:tcBorders>
              <w:top w:val="single" w:color="000000" w:sz="4" w:space="0"/>
              <w:left w:val="single" w:color="000000" w:sz="4" w:space="0"/>
              <w:bottom w:val="single" w:color="000000" w:sz="4" w:space="0"/>
              <w:right w:val="single" w:color="auto" w:sz="4" w:space="0"/>
            </w:tcBorders>
            <w:noWrap/>
            <w:vAlign w:val="bottom"/>
          </w:tcPr>
          <w:p w14:paraId="604CE5E3">
            <w:pPr>
              <w:jc w:val="left"/>
              <w:rPr>
                <w:rFonts w:hint="eastAsia" w:ascii="宋体" w:hAnsi="宋体" w:eastAsia="宋体" w:cs="宋体"/>
                <w:color w:val="auto"/>
                <w:kern w:val="0"/>
                <w:sz w:val="24"/>
                <w:szCs w:val="24"/>
                <w:highlight w:val="none"/>
                <w:lang w:bidi="ar"/>
              </w:rPr>
            </w:pPr>
          </w:p>
        </w:tc>
      </w:tr>
      <w:tr w14:paraId="18037A5E">
        <w:tblPrEx>
          <w:tblCellMar>
            <w:top w:w="0" w:type="dxa"/>
            <w:left w:w="108" w:type="dxa"/>
            <w:bottom w:w="0" w:type="dxa"/>
            <w:right w:w="108" w:type="dxa"/>
          </w:tblCellMar>
        </w:tblPrEx>
        <w:trPr>
          <w:trHeight w:val="1373" w:hRule="atLeast"/>
          <w:jc w:val="center"/>
        </w:trPr>
        <w:tc>
          <w:tcPr>
            <w:tcW w:w="1025" w:type="dxa"/>
            <w:vMerge w:val="continue"/>
            <w:tcBorders>
              <w:top w:val="single" w:color="auto" w:sz="4" w:space="0"/>
              <w:left w:val="single" w:color="auto" w:sz="4" w:space="0"/>
              <w:bottom w:val="single" w:color="auto" w:sz="4" w:space="0"/>
              <w:right w:val="single" w:color="000000" w:sz="4" w:space="0"/>
            </w:tcBorders>
            <w:noWrap w:val="0"/>
            <w:vAlign w:val="center"/>
          </w:tcPr>
          <w:p w14:paraId="0450E1A4">
            <w:pPr>
              <w:jc w:val="center"/>
              <w:rPr>
                <w:rFonts w:hint="eastAsia" w:ascii="宋体" w:hAnsi="宋体" w:eastAsia="宋体" w:cs="宋体"/>
                <w:sz w:val="24"/>
                <w:szCs w:val="24"/>
                <w:highlight w:val="none"/>
                <w:lang w:val="en-US" w:eastAsia="zh-CN"/>
              </w:rPr>
            </w:pPr>
          </w:p>
        </w:tc>
        <w:tc>
          <w:tcPr>
            <w:tcW w:w="4168" w:type="dxa"/>
            <w:gridSpan w:val="2"/>
            <w:vMerge w:val="continue"/>
            <w:tcBorders>
              <w:top w:val="single" w:color="auto" w:sz="4" w:space="0"/>
              <w:left w:val="single" w:color="000000" w:sz="4" w:space="0"/>
              <w:bottom w:val="single" w:color="auto" w:sz="4" w:space="0"/>
              <w:right w:val="single" w:color="000000" w:sz="4" w:space="0"/>
            </w:tcBorders>
            <w:noWrap w:val="0"/>
            <w:vAlign w:val="center"/>
          </w:tcPr>
          <w:p w14:paraId="07A9899F">
            <w:pPr>
              <w:jc w:val="center"/>
              <w:rPr>
                <w:rFonts w:hint="eastAsia" w:ascii="宋体" w:hAnsi="宋体" w:eastAsia="宋体" w:cs="宋体"/>
                <w:color w:val="auto"/>
                <w:kern w:val="0"/>
                <w:sz w:val="24"/>
                <w:szCs w:val="24"/>
                <w:highlight w:val="none"/>
                <w:lang w:val="en-US" w:eastAsia="zh-CN" w:bidi="ar"/>
              </w:rPr>
            </w:pPr>
          </w:p>
        </w:tc>
        <w:tc>
          <w:tcPr>
            <w:tcW w:w="6682" w:type="dxa"/>
            <w:gridSpan w:val="4"/>
            <w:tcBorders>
              <w:top w:val="single" w:color="000000" w:sz="4" w:space="0"/>
              <w:left w:val="single" w:color="000000" w:sz="4" w:space="0"/>
              <w:bottom w:val="single" w:color="000000" w:sz="4" w:space="0"/>
              <w:right w:val="single" w:color="000000" w:sz="4" w:space="0"/>
            </w:tcBorders>
            <w:noWrap w:val="0"/>
            <w:vAlign w:val="center"/>
          </w:tcPr>
          <w:p w14:paraId="5752B6A3">
            <w:pPr>
              <w:widowControl/>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修剪：12分。草坪高度超过10cm未修剪，修剪面不平，边角有遗留，修剪后色斑明显等视现场具体情况打分，0分未修剪，1-3分修剪较差，4-5分修剪良好，6-8分修剪规整。</w:t>
            </w:r>
          </w:p>
        </w:tc>
        <w:tc>
          <w:tcPr>
            <w:tcW w:w="1124" w:type="dxa"/>
            <w:tcBorders>
              <w:top w:val="single" w:color="000000" w:sz="4" w:space="0"/>
              <w:left w:val="single" w:color="000000" w:sz="4" w:space="0"/>
              <w:bottom w:val="single" w:color="000000" w:sz="4" w:space="0"/>
              <w:right w:val="single" w:color="auto" w:sz="4" w:space="0"/>
            </w:tcBorders>
            <w:noWrap/>
            <w:vAlign w:val="bottom"/>
          </w:tcPr>
          <w:p w14:paraId="0EB1AA2A">
            <w:pPr>
              <w:jc w:val="left"/>
              <w:rPr>
                <w:rFonts w:hint="eastAsia" w:ascii="宋体" w:hAnsi="宋体" w:eastAsia="宋体" w:cs="宋体"/>
                <w:color w:val="auto"/>
                <w:kern w:val="0"/>
                <w:sz w:val="24"/>
                <w:szCs w:val="24"/>
                <w:highlight w:val="none"/>
                <w:lang w:bidi="ar"/>
              </w:rPr>
            </w:pPr>
          </w:p>
        </w:tc>
      </w:tr>
      <w:tr w14:paraId="3AEB27DE">
        <w:tblPrEx>
          <w:tblCellMar>
            <w:top w:w="0" w:type="dxa"/>
            <w:left w:w="108" w:type="dxa"/>
            <w:bottom w:w="0" w:type="dxa"/>
            <w:right w:w="108" w:type="dxa"/>
          </w:tblCellMar>
        </w:tblPrEx>
        <w:trPr>
          <w:trHeight w:val="1711" w:hRule="atLeast"/>
          <w:jc w:val="center"/>
        </w:trPr>
        <w:tc>
          <w:tcPr>
            <w:tcW w:w="1025" w:type="dxa"/>
            <w:vMerge w:val="continue"/>
            <w:tcBorders>
              <w:top w:val="single" w:color="auto" w:sz="4" w:space="0"/>
              <w:left w:val="single" w:color="auto" w:sz="4" w:space="0"/>
              <w:bottom w:val="single" w:color="auto" w:sz="4" w:space="0"/>
              <w:right w:val="single" w:color="000000" w:sz="4" w:space="0"/>
            </w:tcBorders>
            <w:noWrap w:val="0"/>
            <w:vAlign w:val="center"/>
          </w:tcPr>
          <w:p w14:paraId="2C5AB5F5">
            <w:pPr>
              <w:jc w:val="center"/>
              <w:rPr>
                <w:rFonts w:hint="eastAsia" w:ascii="宋体" w:hAnsi="宋体" w:eastAsia="宋体" w:cs="宋体"/>
                <w:sz w:val="24"/>
                <w:szCs w:val="24"/>
                <w:highlight w:val="none"/>
                <w:lang w:val="en-US" w:eastAsia="zh-CN"/>
              </w:rPr>
            </w:pPr>
          </w:p>
        </w:tc>
        <w:tc>
          <w:tcPr>
            <w:tcW w:w="4168" w:type="dxa"/>
            <w:gridSpan w:val="2"/>
            <w:vMerge w:val="continue"/>
            <w:tcBorders>
              <w:top w:val="single" w:color="auto" w:sz="4" w:space="0"/>
              <w:left w:val="single" w:color="000000" w:sz="4" w:space="0"/>
              <w:bottom w:val="single" w:color="auto" w:sz="4" w:space="0"/>
              <w:right w:val="single" w:color="000000" w:sz="4" w:space="0"/>
            </w:tcBorders>
            <w:noWrap w:val="0"/>
            <w:vAlign w:val="center"/>
          </w:tcPr>
          <w:p w14:paraId="5B85DAD5">
            <w:pPr>
              <w:jc w:val="center"/>
              <w:rPr>
                <w:rFonts w:hint="eastAsia" w:ascii="宋体" w:hAnsi="宋体" w:eastAsia="宋体" w:cs="宋体"/>
                <w:color w:val="auto"/>
                <w:kern w:val="0"/>
                <w:sz w:val="24"/>
                <w:szCs w:val="24"/>
                <w:highlight w:val="none"/>
                <w:lang w:val="en-US" w:eastAsia="zh-CN" w:bidi="ar"/>
              </w:rPr>
            </w:pPr>
          </w:p>
        </w:tc>
        <w:tc>
          <w:tcPr>
            <w:tcW w:w="6682" w:type="dxa"/>
            <w:gridSpan w:val="4"/>
            <w:tcBorders>
              <w:top w:val="single" w:color="000000" w:sz="4" w:space="0"/>
              <w:left w:val="single" w:color="000000" w:sz="4" w:space="0"/>
              <w:bottom w:val="single" w:color="000000" w:sz="4" w:space="0"/>
              <w:right w:val="single" w:color="000000" w:sz="4" w:space="0"/>
            </w:tcBorders>
            <w:noWrap w:val="0"/>
            <w:vAlign w:val="center"/>
          </w:tcPr>
          <w:p w14:paraId="033822E3">
            <w:pPr>
              <w:widowControl/>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施肥浇水：5分。施肥、浇水不及时（或施肥、浇水不当）导致植物生长不良或者死亡等视现场具体情况打分，0分未施肥浇水，1-3分施肥浇水效果一般，4-5分施肥浇水效果较好。</w:t>
            </w:r>
          </w:p>
        </w:tc>
        <w:tc>
          <w:tcPr>
            <w:tcW w:w="1124" w:type="dxa"/>
            <w:tcBorders>
              <w:top w:val="single" w:color="000000" w:sz="4" w:space="0"/>
              <w:left w:val="single" w:color="000000" w:sz="4" w:space="0"/>
              <w:bottom w:val="single" w:color="000000" w:sz="4" w:space="0"/>
              <w:right w:val="single" w:color="auto" w:sz="4" w:space="0"/>
            </w:tcBorders>
            <w:noWrap/>
            <w:vAlign w:val="bottom"/>
          </w:tcPr>
          <w:p w14:paraId="72D179EA">
            <w:pPr>
              <w:jc w:val="left"/>
              <w:rPr>
                <w:rFonts w:hint="eastAsia" w:ascii="宋体" w:hAnsi="宋体" w:eastAsia="宋体" w:cs="宋体"/>
                <w:color w:val="auto"/>
                <w:kern w:val="0"/>
                <w:sz w:val="24"/>
                <w:szCs w:val="24"/>
                <w:highlight w:val="none"/>
                <w:lang w:bidi="ar"/>
              </w:rPr>
            </w:pPr>
          </w:p>
        </w:tc>
      </w:tr>
      <w:tr w14:paraId="50F285FE">
        <w:tblPrEx>
          <w:tblCellMar>
            <w:top w:w="0" w:type="dxa"/>
            <w:left w:w="108" w:type="dxa"/>
            <w:bottom w:w="0" w:type="dxa"/>
            <w:right w:w="108" w:type="dxa"/>
          </w:tblCellMar>
        </w:tblPrEx>
        <w:trPr>
          <w:trHeight w:val="1035" w:hRule="atLeast"/>
          <w:jc w:val="center"/>
        </w:trPr>
        <w:tc>
          <w:tcPr>
            <w:tcW w:w="1025" w:type="dxa"/>
            <w:vMerge w:val="continue"/>
            <w:tcBorders>
              <w:top w:val="single" w:color="auto" w:sz="4" w:space="0"/>
              <w:left w:val="single" w:color="auto" w:sz="4" w:space="0"/>
              <w:bottom w:val="single" w:color="auto" w:sz="4" w:space="0"/>
              <w:right w:val="single" w:color="000000" w:sz="4" w:space="0"/>
            </w:tcBorders>
            <w:noWrap w:val="0"/>
            <w:vAlign w:val="center"/>
          </w:tcPr>
          <w:p w14:paraId="38BEE311">
            <w:pPr>
              <w:jc w:val="center"/>
              <w:rPr>
                <w:rFonts w:hint="eastAsia" w:ascii="宋体" w:hAnsi="宋体" w:eastAsia="宋体" w:cs="宋体"/>
                <w:sz w:val="24"/>
                <w:szCs w:val="24"/>
                <w:highlight w:val="none"/>
                <w:lang w:val="en-US" w:eastAsia="zh-CN"/>
              </w:rPr>
            </w:pPr>
          </w:p>
        </w:tc>
        <w:tc>
          <w:tcPr>
            <w:tcW w:w="4168" w:type="dxa"/>
            <w:gridSpan w:val="2"/>
            <w:vMerge w:val="continue"/>
            <w:tcBorders>
              <w:top w:val="single" w:color="auto" w:sz="4" w:space="0"/>
              <w:left w:val="single" w:color="000000" w:sz="4" w:space="0"/>
              <w:bottom w:val="single" w:color="auto" w:sz="4" w:space="0"/>
              <w:right w:val="single" w:color="000000" w:sz="4" w:space="0"/>
            </w:tcBorders>
            <w:noWrap w:val="0"/>
            <w:vAlign w:val="center"/>
          </w:tcPr>
          <w:p w14:paraId="741F933D">
            <w:pPr>
              <w:jc w:val="center"/>
              <w:rPr>
                <w:rFonts w:hint="eastAsia" w:ascii="宋体" w:hAnsi="宋体" w:eastAsia="宋体" w:cs="宋体"/>
                <w:color w:val="auto"/>
                <w:kern w:val="0"/>
                <w:sz w:val="24"/>
                <w:szCs w:val="24"/>
                <w:highlight w:val="none"/>
                <w:lang w:val="en-US" w:eastAsia="zh-CN" w:bidi="ar"/>
              </w:rPr>
            </w:pPr>
          </w:p>
        </w:tc>
        <w:tc>
          <w:tcPr>
            <w:tcW w:w="6682" w:type="dxa"/>
            <w:gridSpan w:val="4"/>
            <w:tcBorders>
              <w:top w:val="single" w:color="000000" w:sz="4" w:space="0"/>
              <w:left w:val="single" w:color="000000" w:sz="4" w:space="0"/>
              <w:bottom w:val="single" w:color="000000" w:sz="4" w:space="0"/>
              <w:right w:val="single" w:color="000000" w:sz="4" w:space="0"/>
            </w:tcBorders>
            <w:noWrap w:val="0"/>
            <w:vAlign w:val="center"/>
          </w:tcPr>
          <w:p w14:paraId="213D4AB2">
            <w:pPr>
              <w:widowControl/>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病虫害防治：4分。地被草皮有病虫害，受害面积1㎡以上，每处扣0.1分；路段发生病虫害面积超10%时，扣1分。</w:t>
            </w:r>
          </w:p>
        </w:tc>
        <w:tc>
          <w:tcPr>
            <w:tcW w:w="1124" w:type="dxa"/>
            <w:tcBorders>
              <w:top w:val="single" w:color="000000" w:sz="4" w:space="0"/>
              <w:left w:val="single" w:color="000000" w:sz="4" w:space="0"/>
              <w:bottom w:val="single" w:color="000000" w:sz="4" w:space="0"/>
              <w:right w:val="single" w:color="auto" w:sz="4" w:space="0"/>
            </w:tcBorders>
            <w:noWrap/>
            <w:vAlign w:val="bottom"/>
          </w:tcPr>
          <w:p w14:paraId="62765FA7">
            <w:pPr>
              <w:jc w:val="left"/>
              <w:rPr>
                <w:rFonts w:hint="eastAsia" w:ascii="宋体" w:hAnsi="宋体" w:eastAsia="宋体" w:cs="宋体"/>
                <w:color w:val="auto"/>
                <w:kern w:val="0"/>
                <w:sz w:val="24"/>
                <w:szCs w:val="24"/>
                <w:highlight w:val="none"/>
                <w:lang w:bidi="ar"/>
              </w:rPr>
            </w:pPr>
          </w:p>
        </w:tc>
      </w:tr>
      <w:tr w14:paraId="6196C4A1">
        <w:tblPrEx>
          <w:tblCellMar>
            <w:top w:w="0" w:type="dxa"/>
            <w:left w:w="108" w:type="dxa"/>
            <w:bottom w:w="0" w:type="dxa"/>
            <w:right w:w="108" w:type="dxa"/>
          </w:tblCellMar>
        </w:tblPrEx>
        <w:trPr>
          <w:trHeight w:val="643" w:hRule="atLeast"/>
          <w:jc w:val="center"/>
        </w:trPr>
        <w:tc>
          <w:tcPr>
            <w:tcW w:w="1025" w:type="dxa"/>
            <w:tcBorders>
              <w:top w:val="single" w:color="auto" w:sz="4" w:space="0"/>
              <w:left w:val="single" w:color="auto" w:sz="4" w:space="0"/>
              <w:bottom w:val="single" w:color="auto" w:sz="4" w:space="0"/>
              <w:right w:val="single" w:color="000000" w:sz="4" w:space="0"/>
            </w:tcBorders>
            <w:noWrap w:val="0"/>
            <w:vAlign w:val="center"/>
          </w:tcPr>
          <w:p w14:paraId="35ABF79A">
            <w:pPr>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总分</w:t>
            </w:r>
          </w:p>
        </w:tc>
        <w:tc>
          <w:tcPr>
            <w:tcW w:w="4168" w:type="dxa"/>
            <w:gridSpan w:val="2"/>
            <w:tcBorders>
              <w:top w:val="single" w:color="auto" w:sz="4" w:space="0"/>
              <w:left w:val="single" w:color="000000" w:sz="4" w:space="0"/>
              <w:bottom w:val="single" w:color="auto" w:sz="4" w:space="0"/>
              <w:right w:val="single" w:color="000000" w:sz="4" w:space="0"/>
            </w:tcBorders>
            <w:noWrap w:val="0"/>
            <w:vAlign w:val="center"/>
          </w:tcPr>
          <w:p w14:paraId="1A8033D9">
            <w:pPr>
              <w:jc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100</w:t>
            </w:r>
          </w:p>
        </w:tc>
        <w:tc>
          <w:tcPr>
            <w:tcW w:w="6682" w:type="dxa"/>
            <w:gridSpan w:val="4"/>
            <w:tcBorders>
              <w:top w:val="single" w:color="000000" w:sz="4" w:space="0"/>
              <w:left w:val="single" w:color="000000" w:sz="4" w:space="0"/>
              <w:bottom w:val="single" w:color="000000" w:sz="4" w:space="0"/>
              <w:right w:val="single" w:color="000000" w:sz="4" w:space="0"/>
            </w:tcBorders>
            <w:noWrap w:val="0"/>
            <w:vAlign w:val="center"/>
          </w:tcPr>
          <w:p w14:paraId="16884B4C">
            <w:pPr>
              <w:widowControl/>
              <w:jc w:val="left"/>
              <w:rPr>
                <w:rFonts w:hint="eastAsia" w:ascii="宋体" w:hAnsi="宋体" w:eastAsia="宋体" w:cs="宋体"/>
                <w:kern w:val="0"/>
                <w:sz w:val="24"/>
                <w:szCs w:val="24"/>
                <w:highlight w:val="none"/>
                <w:lang w:val="en-US" w:eastAsia="zh-CN"/>
              </w:rPr>
            </w:pPr>
          </w:p>
        </w:tc>
        <w:tc>
          <w:tcPr>
            <w:tcW w:w="1124" w:type="dxa"/>
            <w:tcBorders>
              <w:top w:val="single" w:color="000000" w:sz="4" w:space="0"/>
              <w:left w:val="single" w:color="000000" w:sz="4" w:space="0"/>
              <w:bottom w:val="single" w:color="000000" w:sz="4" w:space="0"/>
              <w:right w:val="single" w:color="auto" w:sz="4" w:space="0"/>
            </w:tcBorders>
            <w:noWrap/>
            <w:vAlign w:val="bottom"/>
          </w:tcPr>
          <w:p w14:paraId="340BF690">
            <w:pPr>
              <w:jc w:val="left"/>
              <w:rPr>
                <w:rFonts w:hint="eastAsia" w:ascii="宋体" w:hAnsi="宋体" w:eastAsia="宋体" w:cs="宋体"/>
                <w:color w:val="auto"/>
                <w:kern w:val="0"/>
                <w:sz w:val="24"/>
                <w:szCs w:val="24"/>
                <w:highlight w:val="none"/>
                <w:lang w:bidi="ar"/>
              </w:rPr>
            </w:pPr>
          </w:p>
        </w:tc>
      </w:tr>
      <w:tr w14:paraId="4B383FE1">
        <w:tblPrEx>
          <w:tblCellMar>
            <w:top w:w="0" w:type="dxa"/>
            <w:left w:w="108" w:type="dxa"/>
            <w:bottom w:w="0" w:type="dxa"/>
            <w:right w:w="108" w:type="dxa"/>
          </w:tblCellMar>
        </w:tblPrEx>
        <w:trPr>
          <w:trHeight w:val="1373" w:hRule="atLeast"/>
          <w:jc w:val="center"/>
        </w:trPr>
        <w:tc>
          <w:tcPr>
            <w:tcW w:w="1025" w:type="dxa"/>
            <w:vMerge w:val="restart"/>
            <w:tcBorders>
              <w:top w:val="single" w:color="auto" w:sz="4" w:space="0"/>
              <w:left w:val="single" w:color="auto" w:sz="4" w:space="0"/>
              <w:bottom w:val="single" w:color="auto" w:sz="4" w:space="0"/>
              <w:right w:val="single" w:color="auto" w:sz="4" w:space="0"/>
            </w:tcBorders>
            <w:noWrap w:val="0"/>
            <w:vAlign w:val="center"/>
          </w:tcPr>
          <w:p w14:paraId="424459F1">
            <w:p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考核加减分内容</w:t>
            </w:r>
          </w:p>
        </w:tc>
        <w:tc>
          <w:tcPr>
            <w:tcW w:w="4168" w:type="dxa"/>
            <w:gridSpan w:val="2"/>
            <w:tcBorders>
              <w:top w:val="single" w:color="auto" w:sz="4" w:space="0"/>
              <w:left w:val="single" w:color="auto" w:sz="4" w:space="0"/>
              <w:bottom w:val="single" w:color="000000" w:sz="4" w:space="0"/>
              <w:right w:val="single" w:color="000000" w:sz="4" w:space="0"/>
            </w:tcBorders>
            <w:noWrap w:val="0"/>
            <w:vAlign w:val="center"/>
          </w:tcPr>
          <w:p w14:paraId="4783B2DD">
            <w:pPr>
              <w:jc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加分项(≤5分)</w:t>
            </w:r>
          </w:p>
        </w:tc>
        <w:tc>
          <w:tcPr>
            <w:tcW w:w="6682" w:type="dxa"/>
            <w:gridSpan w:val="4"/>
            <w:tcBorders>
              <w:top w:val="single" w:color="auto" w:sz="4" w:space="0"/>
              <w:left w:val="single" w:color="000000" w:sz="4" w:space="0"/>
              <w:bottom w:val="single" w:color="000000" w:sz="4" w:space="0"/>
              <w:right w:val="single" w:color="000000" w:sz="4" w:space="0"/>
            </w:tcBorders>
            <w:noWrap w:val="0"/>
            <w:vAlign w:val="center"/>
          </w:tcPr>
          <w:p w14:paraId="6F80D275">
            <w:pPr>
              <w:widowControl/>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为改善绿地景观面貌和改善植物生长条件，在履行报批程序的基础上，以自主资金积极实施调整改造等措施，成效显著，当次考核加2-5分；</w:t>
            </w:r>
          </w:p>
        </w:tc>
        <w:tc>
          <w:tcPr>
            <w:tcW w:w="1124" w:type="dxa"/>
            <w:tcBorders>
              <w:top w:val="single" w:color="auto" w:sz="4" w:space="0"/>
              <w:left w:val="single" w:color="000000" w:sz="4" w:space="0"/>
              <w:bottom w:val="single" w:color="000000" w:sz="4" w:space="0"/>
              <w:right w:val="single" w:color="000000" w:sz="4" w:space="0"/>
            </w:tcBorders>
            <w:noWrap/>
            <w:vAlign w:val="bottom"/>
          </w:tcPr>
          <w:p w14:paraId="6FE5A24B">
            <w:pPr>
              <w:rPr>
                <w:rFonts w:hint="eastAsia" w:ascii="宋体" w:hAnsi="宋体" w:eastAsia="宋体" w:cs="宋体"/>
                <w:color w:val="auto"/>
                <w:kern w:val="0"/>
                <w:sz w:val="24"/>
                <w:szCs w:val="24"/>
                <w:highlight w:val="none"/>
                <w:lang w:bidi="ar"/>
              </w:rPr>
            </w:pPr>
          </w:p>
        </w:tc>
      </w:tr>
      <w:tr w14:paraId="00A4758A">
        <w:tblPrEx>
          <w:tblCellMar>
            <w:top w:w="0" w:type="dxa"/>
            <w:left w:w="108" w:type="dxa"/>
            <w:bottom w:w="0" w:type="dxa"/>
            <w:right w:w="108" w:type="dxa"/>
          </w:tblCellMar>
        </w:tblPrEx>
        <w:trPr>
          <w:trHeight w:val="2723" w:hRule="atLeast"/>
          <w:jc w:val="center"/>
        </w:trPr>
        <w:tc>
          <w:tcPr>
            <w:tcW w:w="1025" w:type="dxa"/>
            <w:vMerge w:val="continue"/>
            <w:tcBorders>
              <w:top w:val="single" w:color="auto" w:sz="4" w:space="0"/>
              <w:left w:val="single" w:color="auto" w:sz="4" w:space="0"/>
              <w:bottom w:val="single" w:color="auto" w:sz="4" w:space="0"/>
              <w:right w:val="single" w:color="auto" w:sz="4" w:space="0"/>
            </w:tcBorders>
            <w:noWrap w:val="0"/>
            <w:vAlign w:val="center"/>
          </w:tcPr>
          <w:p w14:paraId="0CADFE79">
            <w:pPr>
              <w:rPr>
                <w:rFonts w:hint="eastAsia" w:ascii="宋体" w:hAnsi="宋体" w:eastAsia="宋体" w:cs="宋体"/>
                <w:sz w:val="24"/>
                <w:szCs w:val="24"/>
                <w:highlight w:val="none"/>
                <w:lang w:val="en-US" w:eastAsia="zh-CN"/>
              </w:rPr>
            </w:pPr>
          </w:p>
        </w:tc>
        <w:tc>
          <w:tcPr>
            <w:tcW w:w="4168" w:type="dxa"/>
            <w:gridSpan w:val="2"/>
            <w:tcBorders>
              <w:top w:val="single" w:color="auto" w:sz="4" w:space="0"/>
              <w:left w:val="single" w:color="auto" w:sz="4" w:space="0"/>
              <w:bottom w:val="single" w:color="auto" w:sz="4" w:space="0"/>
              <w:right w:val="single" w:color="000000" w:sz="4" w:space="0"/>
            </w:tcBorders>
            <w:noWrap w:val="0"/>
            <w:vAlign w:val="center"/>
          </w:tcPr>
          <w:p w14:paraId="3E51FDC3">
            <w:pPr>
              <w:jc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减分项</w:t>
            </w:r>
          </w:p>
        </w:tc>
        <w:tc>
          <w:tcPr>
            <w:tcW w:w="6682" w:type="dxa"/>
            <w:gridSpan w:val="4"/>
            <w:tcBorders>
              <w:top w:val="single" w:color="auto" w:sz="4" w:space="0"/>
              <w:left w:val="single" w:color="000000" w:sz="4" w:space="0"/>
              <w:bottom w:val="single" w:color="auto" w:sz="4" w:space="0"/>
              <w:right w:val="single" w:color="000000" w:sz="4" w:space="0"/>
            </w:tcBorders>
            <w:noWrap w:val="0"/>
            <w:vAlign w:val="center"/>
          </w:tcPr>
          <w:p w14:paraId="05C68E51">
            <w:pPr>
              <w:widowControl/>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1.主管在日常巡视发现问题，每处扣0.5分；提出整改要求，未按规定时间落实整改，每次扣1分。</w:t>
            </w:r>
          </w:p>
          <w:p w14:paraId="48D69F79">
            <w:pPr>
              <w:widowControl/>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2.街道领导在督导检查中发现存在问题，发现一处扣1分；提出整改要求，未按规定时间落实整改，每次扣2分。</w:t>
            </w:r>
          </w:p>
          <w:p w14:paraId="17CE38D4">
            <w:pPr>
              <w:widowControl/>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3.发生重大安全生产事故的，每次扣10分。</w:t>
            </w:r>
          </w:p>
          <w:p w14:paraId="2F946396">
            <w:pPr>
              <w:widowControl/>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(在总分内加减)</w:t>
            </w:r>
          </w:p>
        </w:tc>
        <w:tc>
          <w:tcPr>
            <w:tcW w:w="1124" w:type="dxa"/>
            <w:tcBorders>
              <w:top w:val="single" w:color="auto" w:sz="4" w:space="0"/>
              <w:left w:val="single" w:color="000000" w:sz="4" w:space="0"/>
              <w:bottom w:val="single" w:color="auto" w:sz="4" w:space="0"/>
              <w:right w:val="single" w:color="000000" w:sz="4" w:space="0"/>
            </w:tcBorders>
            <w:noWrap/>
            <w:vAlign w:val="bottom"/>
          </w:tcPr>
          <w:p w14:paraId="17FE3249">
            <w:pPr>
              <w:rPr>
                <w:rFonts w:hint="eastAsia" w:ascii="宋体" w:hAnsi="宋体" w:eastAsia="宋体" w:cs="宋体"/>
                <w:color w:val="auto"/>
                <w:kern w:val="0"/>
                <w:sz w:val="24"/>
                <w:szCs w:val="24"/>
                <w:highlight w:val="none"/>
                <w:lang w:bidi="ar"/>
              </w:rPr>
            </w:pPr>
          </w:p>
        </w:tc>
      </w:tr>
      <w:tr w14:paraId="30A87437">
        <w:tblPrEx>
          <w:tblCellMar>
            <w:top w:w="0" w:type="dxa"/>
            <w:left w:w="108" w:type="dxa"/>
            <w:bottom w:w="0" w:type="dxa"/>
            <w:right w:w="108" w:type="dxa"/>
          </w:tblCellMar>
        </w:tblPrEx>
        <w:trPr>
          <w:trHeight w:val="667" w:hRule="atLeast"/>
          <w:jc w:val="center"/>
        </w:trPr>
        <w:tc>
          <w:tcPr>
            <w:tcW w:w="5193" w:type="dxa"/>
            <w:gridSpan w:val="3"/>
            <w:tcBorders>
              <w:top w:val="single" w:color="auto" w:sz="4" w:space="0"/>
              <w:left w:val="single" w:color="auto" w:sz="4" w:space="0"/>
              <w:bottom w:val="single" w:color="auto" w:sz="4" w:space="0"/>
              <w:right w:val="single" w:color="auto" w:sz="4" w:space="0"/>
            </w:tcBorders>
            <w:noWrap w:val="0"/>
            <w:vAlign w:val="center"/>
          </w:tcPr>
          <w:p w14:paraId="4D305F1A">
            <w:pPr>
              <w:jc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得分</w:t>
            </w:r>
          </w:p>
        </w:tc>
        <w:tc>
          <w:tcPr>
            <w:tcW w:w="7806" w:type="dxa"/>
            <w:gridSpan w:val="5"/>
            <w:tcBorders>
              <w:top w:val="single" w:color="auto" w:sz="4" w:space="0"/>
              <w:left w:val="single" w:color="auto" w:sz="4" w:space="0"/>
              <w:bottom w:val="single" w:color="auto" w:sz="4" w:space="0"/>
              <w:right w:val="single" w:color="000000" w:sz="4" w:space="0"/>
            </w:tcBorders>
            <w:noWrap w:val="0"/>
            <w:vAlign w:val="center"/>
          </w:tcPr>
          <w:p w14:paraId="079FD893">
            <w:pPr>
              <w:pStyle w:val="3"/>
              <w:rPr>
                <w:rFonts w:hint="eastAsia" w:ascii="宋体" w:hAnsi="宋体" w:eastAsia="宋体" w:cs="宋体"/>
                <w:sz w:val="24"/>
                <w:szCs w:val="24"/>
                <w:highlight w:val="none"/>
                <w:lang w:eastAsia="zh-CN"/>
              </w:rPr>
            </w:pPr>
          </w:p>
        </w:tc>
      </w:tr>
      <w:tr w14:paraId="18C639E2">
        <w:tblPrEx>
          <w:tblCellMar>
            <w:top w:w="0" w:type="dxa"/>
            <w:left w:w="108" w:type="dxa"/>
            <w:bottom w:w="0" w:type="dxa"/>
            <w:right w:w="108" w:type="dxa"/>
          </w:tblCellMar>
        </w:tblPrEx>
        <w:trPr>
          <w:trHeight w:val="677" w:hRule="atLeast"/>
          <w:jc w:val="center"/>
        </w:trPr>
        <w:tc>
          <w:tcPr>
            <w:tcW w:w="5193" w:type="dxa"/>
            <w:gridSpan w:val="3"/>
            <w:tcBorders>
              <w:top w:val="single" w:color="auto" w:sz="4" w:space="0"/>
              <w:left w:val="single" w:color="auto" w:sz="4" w:space="0"/>
              <w:bottom w:val="single" w:color="auto" w:sz="4" w:space="0"/>
              <w:right w:val="single" w:color="auto" w:sz="4" w:space="0"/>
            </w:tcBorders>
            <w:noWrap w:val="0"/>
            <w:vAlign w:val="center"/>
          </w:tcPr>
          <w:p w14:paraId="5321372B">
            <w:pPr>
              <w:widowControl/>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考评</w:t>
            </w:r>
            <w:r>
              <w:rPr>
                <w:rFonts w:hint="eastAsia" w:ascii="宋体" w:hAnsi="宋体" w:eastAsia="宋体" w:cs="宋体"/>
                <w:color w:val="auto"/>
                <w:kern w:val="0"/>
                <w:sz w:val="24"/>
                <w:szCs w:val="24"/>
                <w:highlight w:val="none"/>
                <w:lang w:bidi="ar"/>
              </w:rPr>
              <w:t>人</w:t>
            </w:r>
          </w:p>
        </w:tc>
        <w:tc>
          <w:tcPr>
            <w:tcW w:w="2734" w:type="dxa"/>
            <w:gridSpan w:val="2"/>
            <w:tcBorders>
              <w:top w:val="single" w:color="auto" w:sz="4" w:space="0"/>
              <w:left w:val="single" w:color="auto" w:sz="4" w:space="0"/>
              <w:bottom w:val="single" w:color="auto" w:sz="4" w:space="0"/>
              <w:right w:val="single" w:color="auto" w:sz="4" w:space="0"/>
            </w:tcBorders>
            <w:noWrap w:val="0"/>
            <w:vAlign w:val="center"/>
          </w:tcPr>
          <w:p w14:paraId="00AFE983">
            <w:pPr>
              <w:tabs>
                <w:tab w:val="left" w:pos="671"/>
              </w:tabs>
              <w:bidi w:val="0"/>
              <w:jc w:val="left"/>
              <w:rPr>
                <w:rFonts w:hint="eastAsia" w:ascii="宋体" w:hAnsi="宋体" w:eastAsia="宋体" w:cs="宋体"/>
                <w:sz w:val="24"/>
                <w:szCs w:val="24"/>
                <w:highlight w:val="none"/>
                <w:lang w:val="en-US" w:eastAsia="zh-CN"/>
              </w:rPr>
            </w:pPr>
          </w:p>
        </w:tc>
        <w:tc>
          <w:tcPr>
            <w:tcW w:w="1272" w:type="dxa"/>
            <w:tcBorders>
              <w:top w:val="single" w:color="auto" w:sz="4" w:space="0"/>
              <w:left w:val="single" w:color="auto" w:sz="4" w:space="0"/>
              <w:bottom w:val="single" w:color="auto" w:sz="4" w:space="0"/>
              <w:right w:val="single" w:color="auto" w:sz="4" w:space="0"/>
            </w:tcBorders>
            <w:noWrap w:val="0"/>
            <w:vAlign w:val="center"/>
          </w:tcPr>
          <w:p w14:paraId="05C4505B">
            <w:pPr>
              <w:widowControl/>
              <w:jc w:val="center"/>
              <w:textAlignment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eastAsia="zh-CN" w:bidi="ar"/>
              </w:rPr>
              <w:t>时间</w:t>
            </w:r>
          </w:p>
        </w:tc>
        <w:tc>
          <w:tcPr>
            <w:tcW w:w="3800" w:type="dxa"/>
            <w:gridSpan w:val="2"/>
            <w:tcBorders>
              <w:top w:val="single" w:color="auto" w:sz="4" w:space="0"/>
              <w:left w:val="single" w:color="auto" w:sz="4" w:space="0"/>
              <w:bottom w:val="single" w:color="auto" w:sz="4" w:space="0"/>
              <w:right w:val="single" w:color="auto" w:sz="4" w:space="0"/>
            </w:tcBorders>
            <w:noWrap w:val="0"/>
            <w:vAlign w:val="center"/>
          </w:tcPr>
          <w:p w14:paraId="0478E0F8">
            <w:pPr>
              <w:widowControl/>
              <w:jc w:val="center"/>
              <w:textAlignment w:val="center"/>
              <w:rPr>
                <w:rFonts w:hint="eastAsia" w:ascii="宋体" w:hAnsi="宋体" w:eastAsia="宋体" w:cs="宋体"/>
                <w:color w:val="auto"/>
                <w:kern w:val="0"/>
                <w:sz w:val="24"/>
                <w:szCs w:val="24"/>
                <w:highlight w:val="none"/>
                <w:lang w:val="en-US" w:eastAsia="zh-CN" w:bidi="ar"/>
              </w:rPr>
            </w:pPr>
          </w:p>
        </w:tc>
      </w:tr>
      <w:tr w14:paraId="5B8D8D9F">
        <w:tblPrEx>
          <w:tblCellMar>
            <w:top w:w="0" w:type="dxa"/>
            <w:left w:w="108" w:type="dxa"/>
            <w:bottom w:w="0" w:type="dxa"/>
            <w:right w:w="108" w:type="dxa"/>
          </w:tblCellMar>
        </w:tblPrEx>
        <w:trPr>
          <w:trHeight w:val="360" w:hRule="atLeast"/>
          <w:jc w:val="center"/>
        </w:trPr>
        <w:tc>
          <w:tcPr>
            <w:tcW w:w="12999" w:type="dxa"/>
            <w:gridSpan w:val="8"/>
            <w:tcBorders>
              <w:top w:val="single" w:color="auto" w:sz="4" w:space="0"/>
              <w:left w:val="nil"/>
              <w:bottom w:val="nil"/>
              <w:right w:val="nil"/>
            </w:tcBorders>
            <w:noWrap w:val="0"/>
            <w:vAlign w:val="center"/>
          </w:tcPr>
          <w:p w14:paraId="741C9C58">
            <w:pP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rPr>
              <w:t>备注：此考核以</w:t>
            </w:r>
            <w:r>
              <w:rPr>
                <w:rFonts w:hint="eastAsia" w:ascii="宋体" w:hAnsi="宋体" w:eastAsia="宋体" w:cs="宋体"/>
                <w:color w:val="auto"/>
                <w:kern w:val="0"/>
                <w:sz w:val="24"/>
                <w:szCs w:val="24"/>
                <w:highlight w:val="none"/>
                <w:lang w:eastAsia="zh-CN"/>
              </w:rPr>
              <w:t>草堂街道办事处</w:t>
            </w:r>
            <w:r>
              <w:rPr>
                <w:rFonts w:hint="eastAsia" w:ascii="宋体" w:hAnsi="宋体" w:eastAsia="宋体" w:cs="宋体"/>
                <w:color w:val="auto"/>
                <w:kern w:val="0"/>
                <w:sz w:val="24"/>
                <w:szCs w:val="24"/>
                <w:highlight w:val="none"/>
              </w:rPr>
              <w:t>当月下发考核表为准。</w:t>
            </w:r>
          </w:p>
        </w:tc>
      </w:tr>
    </w:tbl>
    <w:p w14:paraId="41AFBB81">
      <w:pPr>
        <w:pStyle w:val="3"/>
        <w:rPr>
          <w:rFonts w:hint="eastAsia" w:ascii="宋体" w:hAnsi="宋体" w:eastAsia="宋体" w:cs="宋体"/>
          <w:sz w:val="24"/>
          <w:szCs w:val="24"/>
          <w:highlight w:val="none"/>
        </w:rPr>
      </w:pPr>
    </w:p>
    <w:p w14:paraId="14BA6540">
      <w:pPr>
        <w:rPr>
          <w:rFonts w:hint="eastAsia" w:ascii="宋体" w:hAnsi="宋体" w:eastAsia="宋体" w:cs="宋体"/>
          <w:sz w:val="24"/>
          <w:szCs w:val="24"/>
          <w:highlight w:val="none"/>
        </w:rPr>
      </w:pPr>
    </w:p>
    <w:p w14:paraId="5A474052">
      <w:pPr>
        <w:pStyle w:val="2"/>
        <w:rPr>
          <w:rFonts w:hint="eastAsia" w:ascii="宋体" w:hAnsi="宋体" w:eastAsia="宋体" w:cs="宋体"/>
          <w:sz w:val="24"/>
          <w:szCs w:val="24"/>
          <w:highlight w:val="none"/>
        </w:rPr>
      </w:pPr>
    </w:p>
    <w:p w14:paraId="45D271DF">
      <w:pPr>
        <w:pStyle w:val="2"/>
        <w:rPr>
          <w:rFonts w:hint="eastAsia" w:ascii="宋体" w:hAnsi="宋体" w:eastAsia="宋体" w:cs="宋体"/>
          <w:sz w:val="24"/>
          <w:szCs w:val="24"/>
          <w:highlight w:val="none"/>
        </w:rPr>
      </w:pPr>
    </w:p>
    <w:p w14:paraId="0AB9BD21">
      <w:pPr>
        <w:pStyle w:val="2"/>
        <w:rPr>
          <w:rFonts w:hint="eastAsia" w:ascii="宋体" w:hAnsi="宋体" w:eastAsia="宋体" w:cs="宋体"/>
          <w:sz w:val="24"/>
          <w:szCs w:val="24"/>
          <w:highlight w:val="none"/>
        </w:rPr>
      </w:pPr>
    </w:p>
    <w:p w14:paraId="5BF9C4F7">
      <w:pPr>
        <w:pStyle w:val="2"/>
        <w:rPr>
          <w:rFonts w:hint="eastAsia" w:ascii="宋体" w:hAnsi="宋体" w:eastAsia="宋体" w:cs="宋体"/>
          <w:sz w:val="24"/>
          <w:szCs w:val="24"/>
          <w:highlight w:val="none"/>
        </w:rPr>
      </w:pPr>
    </w:p>
    <w:p w14:paraId="1EDECEA7">
      <w:pPr>
        <w:pStyle w:val="2"/>
        <w:rPr>
          <w:rFonts w:hint="eastAsia" w:ascii="宋体" w:hAnsi="宋体" w:eastAsia="宋体" w:cs="宋体"/>
          <w:sz w:val="24"/>
          <w:szCs w:val="24"/>
          <w:highlight w:val="none"/>
        </w:rPr>
      </w:pPr>
    </w:p>
    <w:p w14:paraId="18267B9C">
      <w:pPr>
        <w:pStyle w:val="2"/>
        <w:rPr>
          <w:rFonts w:hint="eastAsia" w:ascii="宋体" w:hAnsi="宋体" w:eastAsia="宋体" w:cs="宋体"/>
          <w:sz w:val="24"/>
          <w:szCs w:val="24"/>
          <w:highlight w:val="none"/>
        </w:rPr>
      </w:pPr>
    </w:p>
    <w:p w14:paraId="21E5DC76">
      <w:pPr>
        <w:pStyle w:val="2"/>
        <w:rPr>
          <w:rFonts w:hint="eastAsia" w:ascii="宋体" w:hAnsi="宋体" w:eastAsia="宋体" w:cs="宋体"/>
          <w:sz w:val="24"/>
          <w:szCs w:val="24"/>
          <w:highlight w:val="none"/>
        </w:rPr>
      </w:pPr>
    </w:p>
    <w:p w14:paraId="261B16F7">
      <w:pPr>
        <w:pStyle w:val="2"/>
        <w:ind w:left="0" w:leftChars="0" w:firstLine="0" w:firstLineChars="0"/>
        <w:jc w:val="both"/>
        <w:rPr>
          <w:rFonts w:hint="eastAsia" w:ascii="宋体" w:hAnsi="宋体" w:eastAsia="宋体" w:cs="宋体"/>
          <w:kern w:val="2"/>
          <w:sz w:val="24"/>
          <w:szCs w:val="24"/>
          <w:highlight w:val="none"/>
          <w:lang w:val="en-US" w:eastAsia="zh-CN" w:bidi="ar-SA"/>
        </w:rPr>
      </w:pPr>
    </w:p>
    <w:tbl>
      <w:tblPr>
        <w:tblStyle w:val="36"/>
        <w:tblW w:w="4924" w:type="pct"/>
        <w:tblInd w:w="-253" w:type="dxa"/>
        <w:tblLayout w:type="fixed"/>
        <w:tblCellMar>
          <w:top w:w="0" w:type="dxa"/>
          <w:left w:w="108" w:type="dxa"/>
          <w:bottom w:w="0" w:type="dxa"/>
          <w:right w:w="108" w:type="dxa"/>
        </w:tblCellMar>
      </w:tblPr>
      <w:tblGrid>
        <w:gridCol w:w="572"/>
        <w:gridCol w:w="3132"/>
        <w:gridCol w:w="1993"/>
        <w:gridCol w:w="790"/>
        <w:gridCol w:w="1181"/>
        <w:gridCol w:w="1426"/>
        <w:gridCol w:w="1109"/>
        <w:gridCol w:w="2773"/>
      </w:tblGrid>
      <w:tr w14:paraId="307A0E18">
        <w:tblPrEx>
          <w:tblCellMar>
            <w:top w:w="0" w:type="dxa"/>
            <w:left w:w="108" w:type="dxa"/>
            <w:bottom w:w="0" w:type="dxa"/>
            <w:right w:w="108" w:type="dxa"/>
          </w:tblCellMar>
        </w:tblPrEx>
        <w:trPr>
          <w:trHeight w:val="317" w:hRule="atLeast"/>
        </w:trPr>
        <w:tc>
          <w:tcPr>
            <w:tcW w:w="5000" w:type="pct"/>
            <w:gridSpan w:val="8"/>
            <w:tcBorders>
              <w:top w:val="single" w:color="000000" w:sz="4" w:space="0"/>
              <w:left w:val="single" w:color="000000" w:sz="4" w:space="0"/>
              <w:bottom w:val="single" w:color="000000" w:sz="4" w:space="0"/>
              <w:right w:val="single" w:color="000000" w:sz="4" w:space="0"/>
            </w:tcBorders>
            <w:noWrap w:val="0"/>
            <w:vAlign w:val="center"/>
          </w:tcPr>
          <w:p w14:paraId="7A37CB9A">
            <w:pPr>
              <w:widowControl/>
              <w:jc w:val="center"/>
              <w:textAlignment w:val="center"/>
              <w:rPr>
                <w:rFonts w:hint="eastAsia" w:ascii="宋体" w:hAnsi="宋体" w:eastAsia="宋体" w:cs="宋体"/>
                <w:color w:val="000000"/>
                <w:sz w:val="24"/>
                <w:szCs w:val="24"/>
                <w:highlight w:val="none"/>
              </w:rPr>
            </w:pPr>
            <w:r>
              <w:rPr>
                <w:rFonts w:hint="eastAsia" w:ascii="宋体" w:hAnsi="宋体" w:eastAsia="宋体" w:cs="宋体"/>
                <w:color w:val="000000"/>
                <w:kern w:val="0"/>
                <w:sz w:val="24"/>
                <w:szCs w:val="24"/>
                <w:highlight w:val="none"/>
                <w:lang w:bidi="ar"/>
              </w:rPr>
              <w:t>20___年___月</w:t>
            </w:r>
            <w:r>
              <w:rPr>
                <w:rFonts w:hint="eastAsia" w:ascii="宋体" w:hAnsi="宋体" w:eastAsia="宋体" w:cs="宋体"/>
                <w:color w:val="000000"/>
                <w:kern w:val="0"/>
                <w:sz w:val="24"/>
                <w:szCs w:val="24"/>
                <w:highlight w:val="none"/>
                <w:lang w:val="en-US" w:eastAsia="zh-CN" w:bidi="ar"/>
              </w:rPr>
              <w:t>草堂街道绿化</w:t>
            </w:r>
            <w:r>
              <w:rPr>
                <w:rFonts w:hint="eastAsia" w:ascii="宋体" w:hAnsi="宋体" w:eastAsia="宋体" w:cs="宋体"/>
                <w:color w:val="000000"/>
                <w:kern w:val="0"/>
                <w:sz w:val="24"/>
                <w:szCs w:val="24"/>
                <w:highlight w:val="none"/>
                <w:lang w:bidi="ar"/>
              </w:rPr>
              <w:t>养护管理项目养护费用结算单</w:t>
            </w:r>
          </w:p>
        </w:tc>
      </w:tr>
      <w:tr w14:paraId="614A8B35">
        <w:tblPrEx>
          <w:tblCellMar>
            <w:top w:w="0" w:type="dxa"/>
            <w:left w:w="108" w:type="dxa"/>
            <w:bottom w:w="0" w:type="dxa"/>
            <w:right w:w="108" w:type="dxa"/>
          </w:tblCellMar>
        </w:tblPrEx>
        <w:trPr>
          <w:trHeight w:val="212" w:hRule="atLeast"/>
        </w:trPr>
        <w:tc>
          <w:tcPr>
            <w:tcW w:w="5000" w:type="pct"/>
            <w:gridSpan w:val="8"/>
            <w:tcBorders>
              <w:top w:val="single" w:color="000000" w:sz="4" w:space="0"/>
              <w:left w:val="single" w:color="000000" w:sz="4" w:space="0"/>
              <w:bottom w:val="single" w:color="000000" w:sz="4" w:space="0"/>
              <w:right w:val="single" w:color="000000" w:sz="4" w:space="0"/>
            </w:tcBorders>
            <w:noWrap w:val="0"/>
            <w:vAlign w:val="center"/>
          </w:tcPr>
          <w:p w14:paraId="370CEDD7">
            <w:pPr>
              <w:widowControl/>
              <w:jc w:val="left"/>
              <w:textAlignment w:val="center"/>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kern w:val="0"/>
                <w:sz w:val="24"/>
                <w:szCs w:val="24"/>
                <w:highlight w:val="none"/>
                <w:lang w:bidi="ar"/>
              </w:rPr>
              <w:t>养护单位：</w:t>
            </w:r>
            <w:r>
              <w:rPr>
                <w:rFonts w:hint="eastAsia" w:ascii="宋体" w:hAnsi="宋体" w:eastAsia="宋体" w:cs="宋体"/>
                <w:color w:val="000000"/>
                <w:kern w:val="0"/>
                <w:sz w:val="24"/>
                <w:szCs w:val="24"/>
                <w:highlight w:val="none"/>
                <w:lang w:val="en-US" w:eastAsia="zh-CN" w:bidi="ar"/>
              </w:rPr>
              <w:t xml:space="preserve">                   时间段：</w:t>
            </w:r>
          </w:p>
        </w:tc>
      </w:tr>
      <w:tr w14:paraId="63075592">
        <w:tblPrEx>
          <w:tblCellMar>
            <w:top w:w="0" w:type="dxa"/>
            <w:left w:w="108" w:type="dxa"/>
            <w:bottom w:w="0" w:type="dxa"/>
            <w:right w:w="108" w:type="dxa"/>
          </w:tblCellMar>
        </w:tblPrEx>
        <w:trPr>
          <w:trHeight w:val="689" w:hRule="atLeast"/>
        </w:trPr>
        <w:tc>
          <w:tcPr>
            <w:tcW w:w="220" w:type="pct"/>
            <w:tcBorders>
              <w:top w:val="single" w:color="000000" w:sz="4" w:space="0"/>
              <w:left w:val="single" w:color="000000" w:sz="4" w:space="0"/>
              <w:bottom w:val="single" w:color="000000" w:sz="4" w:space="0"/>
              <w:right w:val="single" w:color="000000" w:sz="4" w:space="0"/>
            </w:tcBorders>
            <w:noWrap w:val="0"/>
            <w:vAlign w:val="center"/>
          </w:tcPr>
          <w:p w14:paraId="2FC4DDD5">
            <w:pPr>
              <w:widowControl/>
              <w:jc w:val="center"/>
              <w:textAlignment w:val="center"/>
              <w:rPr>
                <w:rFonts w:hint="eastAsia" w:ascii="宋体" w:hAnsi="宋体" w:eastAsia="宋体" w:cs="宋体"/>
                <w:color w:val="000000"/>
                <w:sz w:val="24"/>
                <w:szCs w:val="24"/>
                <w:highlight w:val="none"/>
              </w:rPr>
            </w:pPr>
            <w:r>
              <w:rPr>
                <w:rFonts w:hint="eastAsia" w:ascii="宋体" w:hAnsi="宋体" w:eastAsia="宋体" w:cs="宋体"/>
                <w:color w:val="000000"/>
                <w:kern w:val="0"/>
                <w:sz w:val="24"/>
                <w:szCs w:val="24"/>
                <w:highlight w:val="none"/>
                <w:lang w:bidi="ar"/>
              </w:rPr>
              <w:t>序号</w:t>
            </w:r>
          </w:p>
        </w:tc>
        <w:tc>
          <w:tcPr>
            <w:tcW w:w="1207" w:type="pct"/>
            <w:tcBorders>
              <w:top w:val="single" w:color="000000" w:sz="4" w:space="0"/>
              <w:left w:val="single" w:color="000000" w:sz="4" w:space="0"/>
              <w:bottom w:val="single" w:color="000000" w:sz="4" w:space="0"/>
              <w:right w:val="single" w:color="000000" w:sz="4" w:space="0"/>
            </w:tcBorders>
            <w:noWrap w:val="0"/>
            <w:vAlign w:val="center"/>
          </w:tcPr>
          <w:p w14:paraId="440423DA">
            <w:pPr>
              <w:widowControl/>
              <w:jc w:val="center"/>
              <w:textAlignment w:val="center"/>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养护</w:t>
            </w:r>
          </w:p>
          <w:p w14:paraId="0DD147E2">
            <w:pPr>
              <w:widowControl/>
              <w:jc w:val="center"/>
              <w:textAlignment w:val="center"/>
              <w:rPr>
                <w:rFonts w:hint="eastAsia" w:ascii="宋体" w:hAnsi="宋体" w:eastAsia="宋体" w:cs="宋体"/>
                <w:color w:val="000000"/>
                <w:sz w:val="24"/>
                <w:szCs w:val="24"/>
                <w:highlight w:val="none"/>
                <w:lang w:eastAsia="zh-CN"/>
              </w:rPr>
            </w:pPr>
            <w:r>
              <w:rPr>
                <w:rFonts w:hint="eastAsia" w:ascii="宋体" w:hAnsi="宋体" w:eastAsia="宋体" w:cs="宋体"/>
                <w:color w:val="000000"/>
                <w:kern w:val="0"/>
                <w:sz w:val="24"/>
                <w:szCs w:val="24"/>
                <w:highlight w:val="none"/>
                <w:lang w:val="en-US" w:eastAsia="zh-CN" w:bidi="ar"/>
              </w:rPr>
              <w:t>范围</w:t>
            </w:r>
          </w:p>
        </w:tc>
        <w:tc>
          <w:tcPr>
            <w:tcW w:w="767" w:type="pct"/>
            <w:tcBorders>
              <w:top w:val="single" w:color="000000" w:sz="4" w:space="0"/>
              <w:left w:val="single" w:color="000000" w:sz="4" w:space="0"/>
              <w:bottom w:val="single" w:color="000000" w:sz="4" w:space="0"/>
              <w:right w:val="single" w:color="000000" w:sz="4" w:space="0"/>
            </w:tcBorders>
            <w:noWrap w:val="0"/>
            <w:vAlign w:val="center"/>
          </w:tcPr>
          <w:p w14:paraId="30318A1F">
            <w:pPr>
              <w:widowControl/>
              <w:jc w:val="center"/>
              <w:textAlignment w:val="center"/>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数量</w:t>
            </w:r>
          </w:p>
          <w:p w14:paraId="00EC01D3">
            <w:pPr>
              <w:widowControl/>
              <w:jc w:val="center"/>
              <w:textAlignment w:val="center"/>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w:t>
            </w:r>
          </w:p>
        </w:tc>
        <w:tc>
          <w:tcPr>
            <w:tcW w:w="759" w:type="pct"/>
            <w:gridSpan w:val="2"/>
            <w:tcBorders>
              <w:top w:val="single" w:color="000000" w:sz="4" w:space="0"/>
              <w:left w:val="single" w:color="000000" w:sz="4" w:space="0"/>
              <w:bottom w:val="single" w:color="000000" w:sz="4" w:space="0"/>
              <w:right w:val="single" w:color="000000" w:sz="4" w:space="0"/>
            </w:tcBorders>
            <w:noWrap w:val="0"/>
            <w:vAlign w:val="center"/>
          </w:tcPr>
          <w:p w14:paraId="201062F2">
            <w:pPr>
              <w:widowControl/>
              <w:jc w:val="center"/>
              <w:textAlignment w:val="center"/>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养护</w:t>
            </w:r>
          </w:p>
          <w:p w14:paraId="7EDF8720">
            <w:pPr>
              <w:widowControl/>
              <w:jc w:val="center"/>
              <w:textAlignment w:val="center"/>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单价</w:t>
            </w:r>
          </w:p>
        </w:tc>
        <w:tc>
          <w:tcPr>
            <w:tcW w:w="549" w:type="pct"/>
            <w:tcBorders>
              <w:top w:val="single" w:color="000000" w:sz="4" w:space="0"/>
              <w:left w:val="single" w:color="000000" w:sz="4" w:space="0"/>
              <w:bottom w:val="single" w:color="000000" w:sz="4" w:space="0"/>
              <w:right w:val="single" w:color="000000" w:sz="4" w:space="0"/>
            </w:tcBorders>
            <w:noWrap w:val="0"/>
            <w:vAlign w:val="center"/>
          </w:tcPr>
          <w:p w14:paraId="1087CFE6">
            <w:pPr>
              <w:widowControl/>
              <w:jc w:val="center"/>
              <w:textAlignment w:val="center"/>
              <w:rPr>
                <w:rFonts w:hint="eastAsia" w:ascii="宋体" w:hAnsi="宋体" w:eastAsia="宋体" w:cs="宋体"/>
                <w:color w:val="000000"/>
                <w:sz w:val="24"/>
                <w:szCs w:val="24"/>
                <w:highlight w:val="none"/>
              </w:rPr>
            </w:pPr>
            <w:r>
              <w:rPr>
                <w:rFonts w:hint="eastAsia" w:ascii="宋体" w:hAnsi="宋体" w:eastAsia="宋体" w:cs="宋体"/>
                <w:color w:val="000000"/>
                <w:kern w:val="0"/>
                <w:sz w:val="24"/>
                <w:szCs w:val="24"/>
                <w:highlight w:val="none"/>
                <w:lang w:bidi="ar"/>
              </w:rPr>
              <w:t>本月考核分值</w:t>
            </w:r>
          </w:p>
        </w:tc>
        <w:tc>
          <w:tcPr>
            <w:tcW w:w="427" w:type="pct"/>
            <w:tcBorders>
              <w:top w:val="single" w:color="000000" w:sz="4" w:space="0"/>
              <w:left w:val="single" w:color="000000" w:sz="4" w:space="0"/>
              <w:bottom w:val="single" w:color="000000" w:sz="4" w:space="0"/>
              <w:right w:val="single" w:color="000000" w:sz="4" w:space="0"/>
            </w:tcBorders>
            <w:noWrap w:val="0"/>
            <w:vAlign w:val="center"/>
          </w:tcPr>
          <w:p w14:paraId="25585DFD">
            <w:pPr>
              <w:widowControl/>
              <w:jc w:val="center"/>
              <w:textAlignment w:val="center"/>
              <w:rPr>
                <w:rFonts w:hint="eastAsia" w:ascii="宋体" w:hAnsi="宋体" w:eastAsia="宋体" w:cs="宋体"/>
                <w:color w:val="000000"/>
                <w:sz w:val="24"/>
                <w:szCs w:val="24"/>
                <w:highlight w:val="none"/>
              </w:rPr>
            </w:pPr>
            <w:r>
              <w:rPr>
                <w:rFonts w:hint="eastAsia" w:ascii="宋体" w:hAnsi="宋体" w:eastAsia="宋体" w:cs="宋体"/>
                <w:color w:val="000000"/>
                <w:kern w:val="0"/>
                <w:sz w:val="24"/>
                <w:szCs w:val="24"/>
                <w:highlight w:val="none"/>
                <w:lang w:bidi="ar"/>
              </w:rPr>
              <w:t>本月养护费用（元）</w:t>
            </w:r>
          </w:p>
        </w:tc>
        <w:tc>
          <w:tcPr>
            <w:tcW w:w="1068" w:type="pct"/>
            <w:tcBorders>
              <w:top w:val="single" w:color="000000" w:sz="4" w:space="0"/>
              <w:left w:val="single" w:color="000000" w:sz="4" w:space="0"/>
              <w:bottom w:val="single" w:color="000000" w:sz="4" w:space="0"/>
              <w:right w:val="single" w:color="000000" w:sz="4" w:space="0"/>
            </w:tcBorders>
            <w:noWrap w:val="0"/>
            <w:vAlign w:val="center"/>
          </w:tcPr>
          <w:p w14:paraId="06D93888">
            <w:pPr>
              <w:widowControl/>
              <w:jc w:val="center"/>
              <w:textAlignment w:val="center"/>
              <w:rPr>
                <w:rFonts w:hint="eastAsia" w:ascii="宋体" w:hAnsi="宋体" w:eastAsia="宋体" w:cs="宋体"/>
                <w:color w:val="000000"/>
                <w:sz w:val="24"/>
                <w:szCs w:val="24"/>
                <w:highlight w:val="none"/>
              </w:rPr>
            </w:pPr>
            <w:r>
              <w:rPr>
                <w:rFonts w:hint="eastAsia" w:ascii="宋体" w:hAnsi="宋体" w:eastAsia="宋体" w:cs="宋体"/>
                <w:color w:val="000000"/>
                <w:kern w:val="0"/>
                <w:sz w:val="24"/>
                <w:szCs w:val="24"/>
                <w:highlight w:val="none"/>
                <w:lang w:bidi="ar"/>
              </w:rPr>
              <w:t>备注</w:t>
            </w:r>
          </w:p>
        </w:tc>
      </w:tr>
      <w:tr w14:paraId="0D3251CC">
        <w:tblPrEx>
          <w:tblCellMar>
            <w:top w:w="0" w:type="dxa"/>
            <w:left w:w="108" w:type="dxa"/>
            <w:bottom w:w="0" w:type="dxa"/>
            <w:right w:w="108" w:type="dxa"/>
          </w:tblCellMar>
        </w:tblPrEx>
        <w:trPr>
          <w:trHeight w:val="2532" w:hRule="atLeast"/>
        </w:trPr>
        <w:tc>
          <w:tcPr>
            <w:tcW w:w="220" w:type="pct"/>
            <w:tcBorders>
              <w:top w:val="single" w:color="000000" w:sz="4" w:space="0"/>
              <w:left w:val="single" w:color="000000" w:sz="4" w:space="0"/>
              <w:right w:val="single" w:color="000000" w:sz="4" w:space="0"/>
            </w:tcBorders>
            <w:noWrap w:val="0"/>
            <w:vAlign w:val="center"/>
          </w:tcPr>
          <w:p w14:paraId="4A5D26B8">
            <w:pPr>
              <w:widowControl/>
              <w:jc w:val="center"/>
              <w:textAlignment w:val="center"/>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1</w:t>
            </w:r>
          </w:p>
          <w:p w14:paraId="63EC49BA">
            <w:pPr>
              <w:jc w:val="center"/>
              <w:rPr>
                <w:rFonts w:hint="eastAsia" w:ascii="宋体" w:hAnsi="宋体" w:eastAsia="宋体" w:cs="宋体"/>
                <w:color w:val="000000"/>
                <w:sz w:val="24"/>
                <w:szCs w:val="24"/>
                <w:highlight w:val="none"/>
                <w:lang w:val="en-US" w:eastAsia="zh-CN"/>
              </w:rPr>
            </w:pPr>
          </w:p>
        </w:tc>
        <w:tc>
          <w:tcPr>
            <w:tcW w:w="1207" w:type="pct"/>
            <w:tcBorders>
              <w:top w:val="single" w:color="000000" w:sz="4" w:space="0"/>
              <w:left w:val="single" w:color="000000" w:sz="4" w:space="0"/>
              <w:right w:val="single" w:color="000000" w:sz="4" w:space="0"/>
            </w:tcBorders>
            <w:noWrap w:val="0"/>
            <w:vAlign w:val="center"/>
          </w:tcPr>
          <w:p w14:paraId="311F389B">
            <w:pPr>
              <w:widowControl/>
              <w:jc w:val="center"/>
              <w:textAlignment w:val="center"/>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草堂街道辖区所有外包道路、广场等绿化</w:t>
            </w:r>
          </w:p>
        </w:tc>
        <w:tc>
          <w:tcPr>
            <w:tcW w:w="767" w:type="pct"/>
            <w:tcBorders>
              <w:top w:val="single" w:color="000000" w:sz="4" w:space="0"/>
              <w:left w:val="single" w:color="000000" w:sz="4" w:space="0"/>
              <w:right w:val="single" w:color="000000" w:sz="4" w:space="0"/>
            </w:tcBorders>
            <w:noWrap w:val="0"/>
            <w:vAlign w:val="center"/>
          </w:tcPr>
          <w:p w14:paraId="5850ADC5">
            <w:pPr>
              <w:widowControl/>
              <w:jc w:val="center"/>
              <w:textAlignment w:val="center"/>
              <w:rPr>
                <w:rFonts w:hint="eastAsia" w:ascii="宋体" w:hAnsi="宋体" w:eastAsia="宋体" w:cs="宋体"/>
                <w:color w:val="000000"/>
                <w:sz w:val="24"/>
                <w:szCs w:val="24"/>
                <w:highlight w:val="none"/>
                <w:lang w:val="en-US" w:eastAsia="zh-CN"/>
              </w:rPr>
            </w:pPr>
          </w:p>
        </w:tc>
        <w:tc>
          <w:tcPr>
            <w:tcW w:w="759" w:type="pct"/>
            <w:gridSpan w:val="2"/>
            <w:tcBorders>
              <w:top w:val="single" w:color="000000" w:sz="4" w:space="0"/>
              <w:left w:val="single" w:color="000000" w:sz="4" w:space="0"/>
              <w:right w:val="single" w:color="000000" w:sz="4" w:space="0"/>
            </w:tcBorders>
            <w:noWrap w:val="0"/>
            <w:vAlign w:val="center"/>
          </w:tcPr>
          <w:p w14:paraId="1DD11DC2">
            <w:pPr>
              <w:jc w:val="center"/>
              <w:rPr>
                <w:rFonts w:hint="eastAsia" w:ascii="宋体" w:hAnsi="宋体" w:eastAsia="宋体" w:cs="宋体"/>
                <w:color w:val="000000"/>
                <w:sz w:val="24"/>
                <w:szCs w:val="24"/>
                <w:highlight w:val="none"/>
                <w:lang w:val="en-US" w:eastAsia="zh-CN"/>
              </w:rPr>
            </w:pPr>
          </w:p>
        </w:tc>
        <w:tc>
          <w:tcPr>
            <w:tcW w:w="549" w:type="pct"/>
            <w:tcBorders>
              <w:top w:val="single" w:color="000000" w:sz="4" w:space="0"/>
              <w:left w:val="single" w:color="000000" w:sz="4" w:space="0"/>
              <w:right w:val="single" w:color="000000" w:sz="4" w:space="0"/>
            </w:tcBorders>
            <w:noWrap w:val="0"/>
            <w:vAlign w:val="center"/>
          </w:tcPr>
          <w:p w14:paraId="58177858">
            <w:pPr>
              <w:jc w:val="center"/>
              <w:rPr>
                <w:rFonts w:hint="eastAsia" w:ascii="宋体" w:hAnsi="宋体" w:eastAsia="宋体" w:cs="宋体"/>
                <w:color w:val="000000"/>
                <w:sz w:val="24"/>
                <w:szCs w:val="24"/>
                <w:highlight w:val="none"/>
              </w:rPr>
            </w:pPr>
          </w:p>
        </w:tc>
        <w:tc>
          <w:tcPr>
            <w:tcW w:w="427" w:type="pct"/>
            <w:tcBorders>
              <w:top w:val="single" w:color="000000" w:sz="4" w:space="0"/>
              <w:left w:val="single" w:color="000000" w:sz="4" w:space="0"/>
              <w:bottom w:val="single" w:color="000000" w:sz="4" w:space="0"/>
              <w:right w:val="single" w:color="000000" w:sz="4" w:space="0"/>
            </w:tcBorders>
            <w:noWrap w:val="0"/>
            <w:vAlign w:val="center"/>
          </w:tcPr>
          <w:p w14:paraId="72781AAF">
            <w:pPr>
              <w:jc w:val="center"/>
              <w:rPr>
                <w:rFonts w:hint="eastAsia" w:ascii="宋体" w:hAnsi="宋体" w:eastAsia="宋体" w:cs="宋体"/>
                <w:color w:val="000000"/>
                <w:sz w:val="24"/>
                <w:szCs w:val="24"/>
                <w:highlight w:val="none"/>
              </w:rPr>
            </w:pPr>
          </w:p>
        </w:tc>
        <w:tc>
          <w:tcPr>
            <w:tcW w:w="1068" w:type="pct"/>
            <w:tcBorders>
              <w:top w:val="single" w:color="000000" w:sz="4" w:space="0"/>
              <w:left w:val="single" w:color="000000" w:sz="4" w:space="0"/>
              <w:right w:val="single" w:color="000000" w:sz="4" w:space="0"/>
            </w:tcBorders>
            <w:noWrap w:val="0"/>
            <w:vAlign w:val="center"/>
          </w:tcPr>
          <w:p w14:paraId="0569C479">
            <w:pPr>
              <w:widowControl/>
              <w:jc w:val="center"/>
              <w:textAlignment w:val="center"/>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val="en-US" w:eastAsia="zh-CN" w:bidi="ar"/>
              </w:rPr>
              <w:t>管理服务费用=</w:t>
            </w:r>
            <w:r>
              <w:rPr>
                <w:rFonts w:hint="eastAsia" w:ascii="宋体" w:hAnsi="宋体" w:eastAsia="宋体" w:cs="宋体"/>
                <w:color w:val="000000"/>
                <w:kern w:val="0"/>
                <w:sz w:val="24"/>
                <w:szCs w:val="24"/>
                <w:highlight w:val="none"/>
                <w:lang w:bidi="ar"/>
              </w:rPr>
              <w:t>养护面积*养护单价</w:t>
            </w:r>
          </w:p>
          <w:p w14:paraId="65E2456B">
            <w:pPr>
              <w:pStyle w:val="3"/>
              <w:rPr>
                <w:rFonts w:hint="eastAsia" w:ascii="宋体" w:hAnsi="宋体" w:eastAsia="宋体" w:cs="宋体"/>
                <w:color w:val="000000"/>
                <w:kern w:val="0"/>
                <w:sz w:val="24"/>
                <w:szCs w:val="24"/>
                <w:highlight w:val="none"/>
                <w:lang w:val="en-US" w:eastAsia="zh-CN" w:bidi="ar"/>
              </w:rPr>
            </w:pPr>
          </w:p>
          <w:p w14:paraId="5421D251">
            <w:pPr>
              <w:pStyle w:val="3"/>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考核分值80分以上为合格，拨付全额管理服务费用（管理服务费用=养护单价*养护面积）。每降低合格线1分，扣除当月全额承包费的1%，扣减至月全额管理费用60%时停止扣除计算，计算所得金额为当月管理服务费用。</w:t>
            </w:r>
          </w:p>
        </w:tc>
      </w:tr>
      <w:tr w14:paraId="5753955F">
        <w:tblPrEx>
          <w:tblCellMar>
            <w:top w:w="0" w:type="dxa"/>
            <w:left w:w="108" w:type="dxa"/>
            <w:bottom w:w="0" w:type="dxa"/>
            <w:right w:w="108" w:type="dxa"/>
          </w:tblCellMar>
        </w:tblPrEx>
        <w:trPr>
          <w:trHeight w:val="699" w:hRule="atLeast"/>
        </w:trPr>
        <w:tc>
          <w:tcPr>
            <w:tcW w:w="220" w:type="pct"/>
            <w:tcBorders>
              <w:top w:val="single" w:color="000000" w:sz="4" w:space="0"/>
              <w:left w:val="single" w:color="000000" w:sz="4" w:space="0"/>
              <w:bottom w:val="single" w:color="000000" w:sz="4" w:space="0"/>
              <w:right w:val="single" w:color="000000" w:sz="4" w:space="0"/>
            </w:tcBorders>
            <w:noWrap w:val="0"/>
            <w:vAlign w:val="center"/>
          </w:tcPr>
          <w:p w14:paraId="5E69DFEB">
            <w:pPr>
              <w:widowControl/>
              <w:jc w:val="center"/>
              <w:textAlignment w:val="center"/>
              <w:rPr>
                <w:rFonts w:hint="eastAsia" w:ascii="宋体" w:hAnsi="宋体" w:eastAsia="宋体" w:cs="宋体"/>
                <w:color w:val="000000"/>
                <w:sz w:val="24"/>
                <w:szCs w:val="24"/>
                <w:highlight w:val="none"/>
                <w:lang w:eastAsia="zh-CN"/>
              </w:rPr>
            </w:pPr>
            <w:r>
              <w:rPr>
                <w:rFonts w:hint="eastAsia" w:ascii="宋体" w:hAnsi="宋体" w:eastAsia="宋体" w:cs="宋体"/>
                <w:color w:val="000000"/>
                <w:kern w:val="0"/>
                <w:sz w:val="24"/>
                <w:szCs w:val="24"/>
                <w:highlight w:val="none"/>
                <w:lang w:val="en-US" w:eastAsia="zh-CN" w:bidi="ar"/>
              </w:rPr>
              <w:t>2</w:t>
            </w:r>
          </w:p>
        </w:tc>
        <w:tc>
          <w:tcPr>
            <w:tcW w:w="3284" w:type="pct"/>
            <w:gridSpan w:val="5"/>
            <w:tcBorders>
              <w:top w:val="single" w:color="000000" w:sz="4" w:space="0"/>
              <w:left w:val="single" w:color="000000" w:sz="4" w:space="0"/>
              <w:bottom w:val="single" w:color="000000" w:sz="4" w:space="0"/>
              <w:right w:val="single" w:color="000000" w:sz="4" w:space="0"/>
            </w:tcBorders>
            <w:noWrap w:val="0"/>
            <w:vAlign w:val="center"/>
          </w:tcPr>
          <w:p w14:paraId="0A58DD07">
            <w:pPr>
              <w:jc w:val="center"/>
              <w:rPr>
                <w:rFonts w:hint="eastAsia" w:ascii="宋体" w:hAnsi="宋体" w:eastAsia="宋体" w:cs="宋体"/>
                <w:color w:val="000000"/>
                <w:sz w:val="24"/>
                <w:szCs w:val="24"/>
                <w:highlight w:val="none"/>
              </w:rPr>
            </w:pPr>
            <w:r>
              <w:rPr>
                <w:rFonts w:hint="eastAsia" w:ascii="宋体" w:hAnsi="宋体" w:eastAsia="宋体" w:cs="宋体"/>
                <w:color w:val="000000"/>
                <w:kern w:val="0"/>
                <w:sz w:val="24"/>
                <w:szCs w:val="24"/>
                <w:highlight w:val="none"/>
                <w:lang w:bidi="ar"/>
              </w:rPr>
              <w:t>奖</w:t>
            </w:r>
            <w:r>
              <w:rPr>
                <w:rFonts w:hint="eastAsia" w:ascii="宋体" w:hAnsi="宋体" w:eastAsia="宋体" w:cs="宋体"/>
                <w:color w:val="000000"/>
                <w:kern w:val="0"/>
                <w:sz w:val="24"/>
                <w:szCs w:val="24"/>
                <w:highlight w:val="none"/>
                <w:lang w:val="en-US" w:eastAsia="zh-CN" w:bidi="ar"/>
              </w:rPr>
              <w:t>罚费用</w:t>
            </w:r>
          </w:p>
        </w:tc>
        <w:tc>
          <w:tcPr>
            <w:tcW w:w="427" w:type="pct"/>
            <w:tcBorders>
              <w:top w:val="single" w:color="000000" w:sz="4" w:space="0"/>
              <w:left w:val="single" w:color="000000" w:sz="4" w:space="0"/>
              <w:bottom w:val="single" w:color="000000" w:sz="4" w:space="0"/>
              <w:right w:val="single" w:color="000000" w:sz="4" w:space="0"/>
            </w:tcBorders>
            <w:noWrap w:val="0"/>
            <w:vAlign w:val="center"/>
          </w:tcPr>
          <w:p w14:paraId="2ADEBC2A">
            <w:pPr>
              <w:rPr>
                <w:rFonts w:hint="eastAsia" w:ascii="宋体" w:hAnsi="宋体" w:eastAsia="宋体" w:cs="宋体"/>
                <w:color w:val="000000"/>
                <w:sz w:val="24"/>
                <w:szCs w:val="24"/>
                <w:highlight w:val="none"/>
              </w:rPr>
            </w:pPr>
          </w:p>
        </w:tc>
        <w:tc>
          <w:tcPr>
            <w:tcW w:w="1068" w:type="pct"/>
            <w:tcBorders>
              <w:top w:val="single" w:color="000000" w:sz="4" w:space="0"/>
              <w:left w:val="single" w:color="000000" w:sz="4" w:space="0"/>
              <w:bottom w:val="single" w:color="000000" w:sz="4" w:space="0"/>
              <w:right w:val="single" w:color="000000" w:sz="4" w:space="0"/>
            </w:tcBorders>
            <w:noWrap w:val="0"/>
            <w:vAlign w:val="center"/>
          </w:tcPr>
          <w:p w14:paraId="5615A5BE">
            <w:pPr>
              <w:widowControl/>
              <w:jc w:val="center"/>
              <w:textAlignment w:val="center"/>
              <w:rPr>
                <w:rFonts w:hint="eastAsia" w:ascii="宋体" w:hAnsi="宋体" w:eastAsia="宋体" w:cs="宋体"/>
                <w:color w:val="000000"/>
                <w:sz w:val="24"/>
                <w:szCs w:val="24"/>
                <w:highlight w:val="none"/>
              </w:rPr>
            </w:pPr>
            <w:r>
              <w:rPr>
                <w:rFonts w:hint="eastAsia" w:ascii="宋体" w:hAnsi="宋体" w:eastAsia="宋体" w:cs="宋体"/>
                <w:color w:val="000000"/>
                <w:kern w:val="0"/>
                <w:sz w:val="24"/>
                <w:szCs w:val="24"/>
                <w:highlight w:val="none"/>
                <w:lang w:bidi="ar"/>
              </w:rPr>
              <w:t>申报结算</w:t>
            </w:r>
          </w:p>
        </w:tc>
      </w:tr>
      <w:tr w14:paraId="7AEB172A">
        <w:tblPrEx>
          <w:tblCellMar>
            <w:top w:w="0" w:type="dxa"/>
            <w:left w:w="108" w:type="dxa"/>
            <w:bottom w:w="0" w:type="dxa"/>
            <w:right w:w="108" w:type="dxa"/>
          </w:tblCellMar>
        </w:tblPrEx>
        <w:trPr>
          <w:trHeight w:val="531" w:hRule="atLeast"/>
        </w:trPr>
        <w:tc>
          <w:tcPr>
            <w:tcW w:w="3504" w:type="pct"/>
            <w:gridSpan w:val="6"/>
            <w:tcBorders>
              <w:top w:val="single" w:color="000000" w:sz="4" w:space="0"/>
              <w:left w:val="single" w:color="000000" w:sz="4" w:space="0"/>
              <w:bottom w:val="single" w:color="000000" w:sz="4" w:space="0"/>
              <w:right w:val="single" w:color="000000" w:sz="4" w:space="0"/>
            </w:tcBorders>
            <w:noWrap w:val="0"/>
            <w:vAlign w:val="center"/>
          </w:tcPr>
          <w:p w14:paraId="031DEDED">
            <w:pPr>
              <w:widowControl/>
              <w:jc w:val="center"/>
              <w:textAlignment w:val="center"/>
              <w:rPr>
                <w:rFonts w:hint="eastAsia" w:ascii="宋体" w:hAnsi="宋体" w:eastAsia="宋体" w:cs="宋体"/>
                <w:color w:val="000000"/>
                <w:sz w:val="24"/>
                <w:szCs w:val="24"/>
                <w:highlight w:val="none"/>
              </w:rPr>
            </w:pPr>
            <w:r>
              <w:rPr>
                <w:rFonts w:hint="eastAsia" w:ascii="宋体" w:hAnsi="宋体" w:eastAsia="宋体" w:cs="宋体"/>
                <w:color w:val="000000"/>
                <w:kern w:val="0"/>
                <w:sz w:val="24"/>
                <w:szCs w:val="24"/>
                <w:highlight w:val="none"/>
                <w:lang w:bidi="ar"/>
              </w:rPr>
              <w:t>本月实际结算费用</w:t>
            </w:r>
          </w:p>
        </w:tc>
        <w:tc>
          <w:tcPr>
            <w:tcW w:w="427" w:type="pct"/>
            <w:tcBorders>
              <w:top w:val="single" w:color="000000" w:sz="4" w:space="0"/>
              <w:left w:val="single" w:color="000000" w:sz="4" w:space="0"/>
              <w:bottom w:val="single" w:color="000000" w:sz="4" w:space="0"/>
              <w:right w:val="single" w:color="000000" w:sz="4" w:space="0"/>
            </w:tcBorders>
            <w:noWrap w:val="0"/>
            <w:vAlign w:val="center"/>
          </w:tcPr>
          <w:p w14:paraId="72C99051">
            <w:pPr>
              <w:rPr>
                <w:rFonts w:hint="eastAsia" w:ascii="宋体" w:hAnsi="宋体" w:eastAsia="宋体" w:cs="宋体"/>
                <w:color w:val="000000"/>
                <w:sz w:val="24"/>
                <w:szCs w:val="24"/>
                <w:highlight w:val="none"/>
              </w:rPr>
            </w:pPr>
          </w:p>
        </w:tc>
        <w:tc>
          <w:tcPr>
            <w:tcW w:w="1068" w:type="pct"/>
            <w:tcBorders>
              <w:top w:val="single" w:color="000000" w:sz="4" w:space="0"/>
              <w:left w:val="single" w:color="000000" w:sz="4" w:space="0"/>
              <w:bottom w:val="single" w:color="000000" w:sz="4" w:space="0"/>
              <w:right w:val="single" w:color="000000" w:sz="4" w:space="0"/>
            </w:tcBorders>
            <w:noWrap w:val="0"/>
            <w:vAlign w:val="center"/>
          </w:tcPr>
          <w:p w14:paraId="16D95AE7">
            <w:pPr>
              <w:widowControl/>
              <w:jc w:val="center"/>
              <w:textAlignment w:val="center"/>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kern w:val="0"/>
                <w:sz w:val="24"/>
                <w:szCs w:val="24"/>
                <w:highlight w:val="none"/>
                <w:lang w:bidi="ar"/>
              </w:rPr>
              <w:t>1+2</w:t>
            </w:r>
          </w:p>
        </w:tc>
      </w:tr>
      <w:tr w14:paraId="7B568D90">
        <w:tblPrEx>
          <w:tblCellMar>
            <w:top w:w="0" w:type="dxa"/>
            <w:left w:w="108" w:type="dxa"/>
            <w:bottom w:w="0" w:type="dxa"/>
            <w:right w:w="108" w:type="dxa"/>
          </w:tblCellMar>
        </w:tblPrEx>
        <w:trPr>
          <w:trHeight w:val="1032" w:hRule="atLeast"/>
        </w:trPr>
        <w:tc>
          <w:tcPr>
            <w:tcW w:w="2499" w:type="pct"/>
            <w:gridSpan w:val="4"/>
            <w:tcBorders>
              <w:top w:val="single" w:color="000000" w:sz="4" w:space="0"/>
              <w:left w:val="single" w:color="000000" w:sz="4" w:space="0"/>
              <w:bottom w:val="single" w:color="000000" w:sz="4" w:space="0"/>
              <w:right w:val="single" w:color="000000" w:sz="4" w:space="0"/>
            </w:tcBorders>
            <w:noWrap w:val="0"/>
            <w:vAlign w:val="center"/>
          </w:tcPr>
          <w:p w14:paraId="66078B46">
            <w:pPr>
              <w:widowControl/>
              <w:jc w:val="center"/>
              <w:textAlignment w:val="center"/>
              <w:rPr>
                <w:rFonts w:hint="eastAsia" w:ascii="宋体" w:hAnsi="宋体" w:eastAsia="宋体" w:cs="宋体"/>
                <w:color w:val="000000"/>
                <w:kern w:val="0"/>
                <w:sz w:val="24"/>
                <w:szCs w:val="24"/>
                <w:highlight w:val="none"/>
                <w:lang w:eastAsia="zh-CN" w:bidi="ar"/>
              </w:rPr>
            </w:pPr>
            <w:r>
              <w:rPr>
                <w:rFonts w:hint="eastAsia" w:ascii="宋体" w:hAnsi="宋体" w:eastAsia="宋体" w:cs="宋体"/>
                <w:color w:val="000000"/>
                <w:kern w:val="0"/>
                <w:sz w:val="24"/>
                <w:szCs w:val="24"/>
                <w:highlight w:val="none"/>
                <w:lang w:eastAsia="zh-CN" w:bidi="ar"/>
              </w:rPr>
              <w:t>高新区草堂街道办事处</w:t>
            </w:r>
          </w:p>
          <w:p w14:paraId="194628C6">
            <w:pPr>
              <w:pStyle w:val="2"/>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color w:val="000000"/>
                <w:kern w:val="0"/>
                <w:sz w:val="24"/>
                <w:szCs w:val="24"/>
                <w:highlight w:val="none"/>
                <w:lang w:val="en-US" w:eastAsia="zh-CN" w:bidi="ar"/>
              </w:rPr>
              <w:t xml:space="preserve"> 签字：</w:t>
            </w:r>
          </w:p>
          <w:p w14:paraId="30C6A184">
            <w:pPr>
              <w:pStyle w:val="2"/>
              <w:rPr>
                <w:rFonts w:hint="eastAsia" w:ascii="宋体" w:hAnsi="宋体" w:eastAsia="宋体" w:cs="宋体"/>
                <w:sz w:val="24"/>
                <w:szCs w:val="24"/>
                <w:highlight w:val="none"/>
                <w:lang w:val="en-US" w:eastAsia="zh-CN"/>
              </w:rPr>
            </w:pPr>
            <w:r>
              <w:rPr>
                <w:rFonts w:hint="eastAsia" w:ascii="宋体" w:hAnsi="宋体" w:eastAsia="宋体" w:cs="宋体"/>
                <w:color w:val="000000"/>
                <w:kern w:val="0"/>
                <w:sz w:val="24"/>
                <w:szCs w:val="24"/>
                <w:highlight w:val="none"/>
                <w:lang w:val="en-US" w:eastAsia="zh-CN" w:bidi="ar"/>
              </w:rPr>
              <w:t xml:space="preserve">        月    日</w:t>
            </w:r>
          </w:p>
        </w:tc>
        <w:tc>
          <w:tcPr>
            <w:tcW w:w="2500" w:type="pct"/>
            <w:gridSpan w:val="4"/>
            <w:tcBorders>
              <w:top w:val="single" w:color="000000" w:sz="4" w:space="0"/>
              <w:left w:val="single" w:color="000000" w:sz="4" w:space="0"/>
              <w:bottom w:val="single" w:color="000000" w:sz="4" w:space="0"/>
              <w:right w:val="single" w:color="000000" w:sz="4" w:space="0"/>
            </w:tcBorders>
            <w:noWrap w:val="0"/>
            <w:vAlign w:val="center"/>
          </w:tcPr>
          <w:p w14:paraId="72DABFAB">
            <w:pPr>
              <w:widowControl/>
              <w:jc w:val="center"/>
              <w:textAlignment w:val="center"/>
              <w:rPr>
                <w:rFonts w:hint="eastAsia" w:ascii="宋体" w:hAnsi="宋体" w:eastAsia="宋体" w:cs="宋体"/>
                <w:color w:val="000000"/>
                <w:kern w:val="0"/>
                <w:sz w:val="24"/>
                <w:szCs w:val="24"/>
                <w:highlight w:val="none"/>
                <w:lang w:bidi="ar"/>
              </w:rPr>
            </w:pPr>
          </w:p>
          <w:p w14:paraId="17CCAA6C">
            <w:pPr>
              <w:widowControl/>
              <w:jc w:val="center"/>
              <w:textAlignment w:val="center"/>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 xml:space="preserve">       签字：</w:t>
            </w:r>
          </w:p>
          <w:p w14:paraId="5A6A7DE3">
            <w:pPr>
              <w:widowControl/>
              <w:jc w:val="center"/>
              <w:textAlignment w:val="center"/>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 xml:space="preserve">        月   </w:t>
            </w:r>
            <w:r>
              <w:rPr>
                <w:rFonts w:hint="eastAsia" w:ascii="宋体" w:hAnsi="宋体" w:eastAsia="宋体" w:cs="宋体"/>
                <w:color w:val="000000"/>
                <w:kern w:val="0"/>
                <w:sz w:val="24"/>
                <w:szCs w:val="24"/>
                <w:highlight w:val="none"/>
                <w:lang w:val="en-US" w:eastAsia="zh-CN" w:bidi="ar"/>
              </w:rPr>
              <w:t xml:space="preserve"> </w:t>
            </w:r>
            <w:r>
              <w:rPr>
                <w:rFonts w:hint="eastAsia" w:ascii="宋体" w:hAnsi="宋体" w:eastAsia="宋体" w:cs="宋体"/>
                <w:color w:val="000000"/>
                <w:kern w:val="0"/>
                <w:sz w:val="24"/>
                <w:szCs w:val="24"/>
                <w:highlight w:val="none"/>
                <w:lang w:bidi="ar"/>
              </w:rPr>
              <w:t>日</w:t>
            </w:r>
          </w:p>
        </w:tc>
      </w:tr>
    </w:tbl>
    <w:p w14:paraId="178DAF6B">
      <w:pPr>
        <w:rPr>
          <w:highlight w:val="none"/>
        </w:rPr>
      </w:pPr>
    </w:p>
    <w:p w14:paraId="6036F21E">
      <w:pPr>
        <w:pStyle w:val="2"/>
        <w:ind w:left="0" w:leftChars="0" w:firstLine="723" w:firstLineChars="300"/>
        <w:jc w:val="both"/>
        <w:rPr>
          <w:rFonts w:hint="eastAsia" w:ascii="宋体" w:hAnsi="宋体" w:eastAsia="宋体" w:cs="宋体"/>
          <w:b/>
          <w:bCs/>
          <w:i w:val="0"/>
          <w:iCs w:val="0"/>
          <w:color w:val="000000"/>
          <w:kern w:val="0"/>
          <w:sz w:val="24"/>
          <w:szCs w:val="24"/>
          <w:highlight w:val="none"/>
          <w:u w:val="none"/>
          <w:lang w:val="en-US" w:eastAsia="zh-CN" w:bidi="ar"/>
        </w:rPr>
      </w:pPr>
    </w:p>
    <w:p w14:paraId="3065B2E9">
      <w:pPr>
        <w:pStyle w:val="2"/>
        <w:ind w:left="0" w:leftChars="0" w:firstLine="723" w:firstLineChars="300"/>
        <w:jc w:val="both"/>
        <w:rPr>
          <w:rFonts w:hint="eastAsia" w:ascii="宋体" w:hAnsi="宋体" w:eastAsia="宋体" w:cs="宋体"/>
          <w:b/>
          <w:bCs/>
          <w:i w:val="0"/>
          <w:iCs w:val="0"/>
          <w:color w:val="000000"/>
          <w:kern w:val="0"/>
          <w:sz w:val="24"/>
          <w:szCs w:val="24"/>
          <w:highlight w:val="none"/>
          <w:u w:val="none"/>
          <w:lang w:val="en-US" w:eastAsia="zh-CN" w:bidi="ar"/>
        </w:rPr>
      </w:pPr>
    </w:p>
    <w:p w14:paraId="598AE059">
      <w:pPr>
        <w:pStyle w:val="2"/>
        <w:ind w:left="0" w:leftChars="0" w:firstLine="723" w:firstLineChars="300"/>
        <w:jc w:val="both"/>
        <w:rPr>
          <w:rFonts w:hint="eastAsia" w:ascii="宋体" w:hAnsi="宋体" w:eastAsia="宋体" w:cs="宋体"/>
          <w:b/>
          <w:bCs/>
          <w:i w:val="0"/>
          <w:iCs w:val="0"/>
          <w:color w:val="000000"/>
          <w:kern w:val="0"/>
          <w:sz w:val="24"/>
          <w:szCs w:val="24"/>
          <w:highlight w:val="none"/>
          <w:u w:val="none"/>
          <w:lang w:val="en-US" w:eastAsia="zh-CN" w:bidi="ar"/>
        </w:rPr>
      </w:pPr>
    </w:p>
    <w:p w14:paraId="2069C382">
      <w:pPr>
        <w:pStyle w:val="2"/>
        <w:ind w:left="0" w:leftChars="0" w:firstLine="723" w:firstLineChars="300"/>
        <w:jc w:val="both"/>
        <w:rPr>
          <w:rFonts w:hint="eastAsia" w:ascii="宋体" w:hAnsi="宋体" w:eastAsia="宋体" w:cs="宋体"/>
          <w:b/>
          <w:bCs/>
          <w:i w:val="0"/>
          <w:iCs w:val="0"/>
          <w:color w:val="000000"/>
          <w:kern w:val="0"/>
          <w:sz w:val="24"/>
          <w:szCs w:val="24"/>
          <w:highlight w:val="none"/>
          <w:u w:val="none"/>
          <w:lang w:val="en-US" w:eastAsia="zh-CN" w:bidi="ar"/>
        </w:rPr>
      </w:pPr>
    </w:p>
    <w:p w14:paraId="738EF604">
      <w:pPr>
        <w:pStyle w:val="2"/>
        <w:ind w:left="0" w:leftChars="0" w:firstLine="723" w:firstLineChars="300"/>
        <w:jc w:val="both"/>
        <w:rPr>
          <w:rFonts w:hint="eastAsia" w:ascii="宋体" w:hAnsi="宋体" w:eastAsia="宋体" w:cs="宋体"/>
          <w:b/>
          <w:bCs/>
          <w:i w:val="0"/>
          <w:iCs w:val="0"/>
          <w:color w:val="000000"/>
          <w:kern w:val="0"/>
          <w:sz w:val="24"/>
          <w:szCs w:val="24"/>
          <w:highlight w:val="none"/>
          <w:u w:val="none"/>
          <w:lang w:val="en-US" w:eastAsia="zh-CN" w:bidi="ar"/>
        </w:rPr>
      </w:pPr>
    </w:p>
    <w:p w14:paraId="5F1DBBA0">
      <w:pPr>
        <w:pStyle w:val="2"/>
        <w:ind w:left="0" w:leftChars="0" w:firstLine="723" w:firstLineChars="300"/>
        <w:jc w:val="both"/>
        <w:rPr>
          <w:rFonts w:hint="eastAsia" w:ascii="宋体" w:hAnsi="宋体" w:eastAsia="宋体" w:cs="宋体"/>
          <w:b/>
          <w:bCs/>
          <w:i w:val="0"/>
          <w:iCs w:val="0"/>
          <w:color w:val="000000"/>
          <w:kern w:val="0"/>
          <w:sz w:val="24"/>
          <w:szCs w:val="24"/>
          <w:highlight w:val="none"/>
          <w:u w:val="none"/>
          <w:lang w:val="en-US" w:eastAsia="zh-CN" w:bidi="ar"/>
        </w:rPr>
      </w:pPr>
    </w:p>
    <w:p w14:paraId="6D2FE498">
      <w:pPr>
        <w:pStyle w:val="2"/>
        <w:ind w:left="0" w:leftChars="0" w:firstLine="723" w:firstLineChars="300"/>
        <w:jc w:val="both"/>
        <w:rPr>
          <w:rFonts w:hint="eastAsia" w:ascii="宋体" w:hAnsi="宋体" w:eastAsia="宋体" w:cs="宋体"/>
          <w:b/>
          <w:bCs/>
          <w:i w:val="0"/>
          <w:iCs w:val="0"/>
          <w:color w:val="000000"/>
          <w:kern w:val="0"/>
          <w:sz w:val="24"/>
          <w:szCs w:val="24"/>
          <w:highlight w:val="none"/>
          <w:u w:val="none"/>
          <w:lang w:val="en-US" w:eastAsia="zh-CN" w:bidi="ar"/>
        </w:rPr>
      </w:pPr>
    </w:p>
    <w:p w14:paraId="2300C68E">
      <w:pPr>
        <w:pStyle w:val="2"/>
        <w:ind w:left="0" w:leftChars="0" w:firstLine="723" w:firstLineChars="300"/>
        <w:jc w:val="both"/>
        <w:rPr>
          <w:rFonts w:hint="eastAsia" w:ascii="宋体" w:hAnsi="宋体" w:eastAsia="宋体" w:cs="宋体"/>
          <w:b/>
          <w:bCs/>
          <w:i w:val="0"/>
          <w:iCs w:val="0"/>
          <w:color w:val="000000"/>
          <w:kern w:val="0"/>
          <w:sz w:val="24"/>
          <w:szCs w:val="24"/>
          <w:highlight w:val="none"/>
          <w:u w:val="none"/>
          <w:lang w:val="en-US" w:eastAsia="zh-CN" w:bidi="ar"/>
        </w:rPr>
      </w:pPr>
    </w:p>
    <w:p w14:paraId="3A72F382">
      <w:pPr>
        <w:pStyle w:val="2"/>
        <w:ind w:left="0" w:leftChars="0" w:firstLine="723" w:firstLineChars="300"/>
        <w:jc w:val="both"/>
        <w:rPr>
          <w:rFonts w:hint="eastAsia" w:ascii="宋体" w:hAnsi="宋体" w:eastAsia="宋体" w:cs="宋体"/>
          <w:b/>
          <w:bCs/>
          <w:i w:val="0"/>
          <w:iCs w:val="0"/>
          <w:color w:val="000000"/>
          <w:kern w:val="0"/>
          <w:sz w:val="24"/>
          <w:szCs w:val="24"/>
          <w:highlight w:val="none"/>
          <w:u w:val="none"/>
          <w:lang w:val="en-US" w:eastAsia="zh-CN" w:bidi="ar"/>
        </w:rPr>
      </w:pPr>
    </w:p>
    <w:p w14:paraId="311624FF">
      <w:pPr>
        <w:pStyle w:val="2"/>
        <w:ind w:left="0" w:leftChars="0" w:firstLine="723" w:firstLineChars="300"/>
        <w:jc w:val="both"/>
        <w:rPr>
          <w:rFonts w:hint="eastAsia" w:ascii="宋体" w:hAnsi="宋体" w:eastAsia="宋体" w:cs="宋体"/>
          <w:b/>
          <w:bCs/>
          <w:i w:val="0"/>
          <w:iCs w:val="0"/>
          <w:color w:val="000000"/>
          <w:kern w:val="0"/>
          <w:sz w:val="24"/>
          <w:szCs w:val="24"/>
          <w:highlight w:val="none"/>
          <w:u w:val="none"/>
          <w:lang w:val="en-US" w:eastAsia="zh-CN" w:bidi="ar"/>
        </w:rPr>
      </w:pPr>
    </w:p>
    <w:p w14:paraId="5BF3F927">
      <w:pPr>
        <w:pStyle w:val="2"/>
        <w:ind w:left="0" w:leftChars="0" w:firstLine="723" w:firstLineChars="300"/>
        <w:jc w:val="both"/>
        <w:rPr>
          <w:rFonts w:hint="eastAsia" w:ascii="宋体" w:hAnsi="宋体" w:eastAsia="宋体" w:cs="宋体"/>
          <w:b/>
          <w:bCs/>
          <w:i w:val="0"/>
          <w:iCs w:val="0"/>
          <w:color w:val="000000"/>
          <w:kern w:val="0"/>
          <w:sz w:val="24"/>
          <w:szCs w:val="24"/>
          <w:highlight w:val="none"/>
          <w:u w:val="none"/>
          <w:lang w:val="en-US" w:eastAsia="zh-CN" w:bidi="ar"/>
        </w:rPr>
      </w:pPr>
    </w:p>
    <w:p w14:paraId="41A2063F">
      <w:pPr>
        <w:pStyle w:val="2"/>
        <w:ind w:left="0" w:leftChars="0" w:firstLine="723" w:firstLineChars="300"/>
        <w:jc w:val="both"/>
        <w:rPr>
          <w:rFonts w:hint="eastAsia" w:ascii="宋体" w:hAnsi="宋体" w:eastAsia="宋体" w:cs="宋体"/>
          <w:b/>
          <w:bCs/>
          <w:i w:val="0"/>
          <w:iCs w:val="0"/>
          <w:color w:val="000000"/>
          <w:kern w:val="0"/>
          <w:sz w:val="24"/>
          <w:szCs w:val="24"/>
          <w:highlight w:val="none"/>
          <w:u w:val="none"/>
          <w:lang w:val="en-US" w:eastAsia="zh-CN" w:bidi="ar"/>
        </w:rPr>
      </w:pPr>
    </w:p>
    <w:p w14:paraId="054EA688">
      <w:pPr>
        <w:pStyle w:val="2"/>
        <w:ind w:left="0" w:leftChars="0" w:firstLine="723" w:firstLineChars="300"/>
        <w:jc w:val="both"/>
        <w:rPr>
          <w:rFonts w:ascii="仿宋_GB2312" w:hAnsi="仿宋_GB2312" w:eastAsia="仿宋_GB2312" w:cs="仿宋_GB2312"/>
          <w:color w:val="000000"/>
          <w:sz w:val="24"/>
          <w:highlight w:val="none"/>
        </w:rPr>
      </w:pPr>
      <w:r>
        <w:rPr>
          <w:rFonts w:hint="eastAsia" w:ascii="宋体" w:hAnsi="宋体" w:eastAsia="宋体" w:cs="宋体"/>
          <w:b/>
          <w:bCs/>
          <w:i w:val="0"/>
          <w:iCs w:val="0"/>
          <w:color w:val="000000"/>
          <w:kern w:val="0"/>
          <w:sz w:val="24"/>
          <w:szCs w:val="24"/>
          <w:highlight w:val="none"/>
          <w:u w:val="none"/>
          <w:lang w:val="en-US" w:eastAsia="zh-CN" w:bidi="ar"/>
        </w:rPr>
        <w:br w:type="column"/>
      </w:r>
      <w:r>
        <w:rPr>
          <w:rFonts w:hint="eastAsia" w:ascii="宋体" w:hAnsi="宋体" w:eastAsia="宋体" w:cs="宋体"/>
          <w:sz w:val="24"/>
          <w:szCs w:val="24"/>
          <w:highlight w:val="none"/>
        </w:rPr>
        <w:object>
          <v:shape id="_x0000_i1025" o:spt="75" type="#_x0000_t75" style="height:424pt;width:642pt;" o:ole="t" filled="f" o:preferrelative="t" stroked="f" coordsize="21600,21600">
            <v:path/>
            <v:fill on="f" focussize="0,0"/>
            <v:stroke on="f"/>
            <v:imagedata r:id="rId7" o:title=""/>
            <o:lock v:ext="edit" aspectratio="f"/>
            <w10:wrap type="none"/>
            <w10:anchorlock/>
          </v:shape>
          <o:OLEObject Type="Embed" ProgID="Excel.Sheet.8" ShapeID="_x0000_i1025" DrawAspect="Content" ObjectID="_1468075725" r:id="rId6">
            <o:LockedField>false</o:LockedField>
          </o:OLEObject>
        </w:object>
      </w:r>
    </w:p>
    <w:sectPr>
      <w:pgSz w:w="15840" w:h="12240" w:orient="landscape"/>
      <w:pgMar w:top="1800" w:right="1440" w:bottom="180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Cambria">
    <w:panose1 w:val="02040503050406030204"/>
    <w:charset w:val="00"/>
    <w:family w:val="auto"/>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KSOFE4507CE4">
    <w:panose1 w:val="02010609060101010101"/>
    <w:charset w:val="86"/>
    <w:family w:val="auto"/>
    <w:pitch w:val="default"/>
    <w:sig w:usb0="00000001" w:usb1="00000000" w:usb2="00000000" w:usb3="00000000" w:csb0="0004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06B585"/>
    <w:multiLevelType w:val="singleLevel"/>
    <w:tmpl w:val="9506B585"/>
    <w:lvl w:ilvl="0" w:tentative="0">
      <w:start w:val="7"/>
      <w:numFmt w:val="chineseCounting"/>
      <w:suff w:val="space"/>
      <w:lvlText w:val="第%1条"/>
      <w:lvlJc w:val="left"/>
      <w:rPr>
        <w:rFonts w:hint="eastAsia"/>
      </w:rPr>
    </w:lvl>
  </w:abstractNum>
  <w:abstractNum w:abstractNumId="1">
    <w:nsid w:val="FFFFFF7E"/>
    <w:multiLevelType w:val="singleLevel"/>
    <w:tmpl w:val="FFFFFF7E"/>
    <w:lvl w:ilvl="0" w:tentative="0">
      <w:start w:val="1"/>
      <w:numFmt w:val="decimal"/>
      <w:pStyle w:val="22"/>
      <w:lvlText w:val="%1."/>
      <w:lvlJc w:val="left"/>
      <w:pPr>
        <w:tabs>
          <w:tab w:val="left" w:pos="1080"/>
        </w:tabs>
        <w:ind w:left="1080" w:hanging="360"/>
      </w:pPr>
    </w:lvl>
  </w:abstractNum>
  <w:abstractNum w:abstractNumId="2">
    <w:nsid w:val="FFFFFF7F"/>
    <w:multiLevelType w:val="singleLevel"/>
    <w:tmpl w:val="FFFFFF7F"/>
    <w:lvl w:ilvl="0" w:tentative="0">
      <w:start w:val="1"/>
      <w:numFmt w:val="decimal"/>
      <w:pStyle w:val="15"/>
      <w:lvlText w:val="%1."/>
      <w:lvlJc w:val="left"/>
      <w:pPr>
        <w:tabs>
          <w:tab w:val="left" w:pos="720"/>
        </w:tabs>
        <w:ind w:left="720" w:hanging="360"/>
      </w:pPr>
    </w:lvl>
  </w:abstractNum>
  <w:abstractNum w:abstractNumId="3">
    <w:nsid w:val="FFFFFF82"/>
    <w:multiLevelType w:val="singleLevel"/>
    <w:tmpl w:val="FFFFFF82"/>
    <w:lvl w:ilvl="0" w:tentative="0">
      <w:start w:val="1"/>
      <w:numFmt w:val="bullet"/>
      <w:pStyle w:val="21"/>
      <w:lvlText w:val=""/>
      <w:lvlJc w:val="left"/>
      <w:pPr>
        <w:tabs>
          <w:tab w:val="left" w:pos="1080"/>
        </w:tabs>
        <w:ind w:left="1080" w:hanging="360"/>
      </w:pPr>
      <w:rPr>
        <w:rFonts w:hint="default" w:ascii="Symbol" w:hAnsi="Symbol"/>
      </w:rPr>
    </w:lvl>
  </w:abstractNum>
  <w:abstractNum w:abstractNumId="4">
    <w:nsid w:val="FFFFFF83"/>
    <w:multiLevelType w:val="singleLevel"/>
    <w:tmpl w:val="FFFFFF83"/>
    <w:lvl w:ilvl="0" w:tentative="0">
      <w:start w:val="1"/>
      <w:numFmt w:val="bullet"/>
      <w:pStyle w:val="25"/>
      <w:lvlText w:val=""/>
      <w:lvlJc w:val="left"/>
      <w:pPr>
        <w:tabs>
          <w:tab w:val="left" w:pos="720"/>
        </w:tabs>
        <w:ind w:left="720" w:hanging="360"/>
      </w:pPr>
      <w:rPr>
        <w:rFonts w:hint="default" w:ascii="Symbol" w:hAnsi="Symbol"/>
      </w:rPr>
    </w:lvl>
  </w:abstractNum>
  <w:abstractNum w:abstractNumId="5">
    <w:nsid w:val="FFFFFF88"/>
    <w:multiLevelType w:val="singleLevel"/>
    <w:tmpl w:val="FFFFFF88"/>
    <w:lvl w:ilvl="0" w:tentative="0">
      <w:start w:val="1"/>
      <w:numFmt w:val="decimal"/>
      <w:pStyle w:val="16"/>
      <w:lvlText w:val="%1."/>
      <w:lvlJc w:val="left"/>
      <w:pPr>
        <w:tabs>
          <w:tab w:val="left" w:pos="360"/>
        </w:tabs>
        <w:ind w:left="360" w:hanging="360"/>
      </w:pPr>
    </w:lvl>
  </w:abstractNum>
  <w:abstractNum w:abstractNumId="6">
    <w:nsid w:val="FFFFFF89"/>
    <w:multiLevelType w:val="singleLevel"/>
    <w:tmpl w:val="FFFFFF89"/>
    <w:lvl w:ilvl="0" w:tentative="0">
      <w:start w:val="1"/>
      <w:numFmt w:val="bullet"/>
      <w:pStyle w:val="19"/>
      <w:lvlText w:val=""/>
      <w:lvlJc w:val="left"/>
      <w:pPr>
        <w:tabs>
          <w:tab w:val="left" w:pos="360"/>
        </w:tabs>
        <w:ind w:left="360" w:hanging="360"/>
      </w:pPr>
      <w:rPr>
        <w:rFonts w:hint="default" w:ascii="Symbol" w:hAnsi="Symbol"/>
      </w:rPr>
    </w:lvl>
  </w:abstractNum>
  <w:abstractNum w:abstractNumId="7">
    <w:nsid w:val="3B51ECBF"/>
    <w:multiLevelType w:val="singleLevel"/>
    <w:tmpl w:val="3B51ECBF"/>
    <w:lvl w:ilvl="0" w:tentative="0">
      <w:start w:val="1"/>
      <w:numFmt w:val="chineseCounting"/>
      <w:suff w:val="nothing"/>
      <w:lvlText w:val="（%1）"/>
      <w:lvlJc w:val="left"/>
      <w:rPr>
        <w:rFonts w:hint="eastAsia"/>
      </w:rPr>
    </w:lvl>
  </w:abstractNum>
  <w:abstractNum w:abstractNumId="8">
    <w:nsid w:val="5DE72771"/>
    <w:multiLevelType w:val="multilevel"/>
    <w:tmpl w:val="5DE72771"/>
    <w:lvl w:ilvl="0" w:tentative="0">
      <w:start w:val="4"/>
      <w:numFmt w:val="japaneseCounting"/>
      <w:lvlText w:val="第%1章"/>
      <w:lvlJc w:val="left"/>
      <w:pPr>
        <w:ind w:left="1080" w:hanging="10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689730D2"/>
    <w:multiLevelType w:val="multilevel"/>
    <w:tmpl w:val="689730D2"/>
    <w:lvl w:ilvl="0" w:tentative="0">
      <w:start w:val="1"/>
      <w:numFmt w:val="japaneseCounting"/>
      <w:lvlText w:val="第%1章"/>
      <w:lvlJc w:val="left"/>
      <w:pPr>
        <w:ind w:left="1913" w:hanging="1080"/>
      </w:pPr>
      <w:rPr>
        <w:rFonts w:hint="default"/>
      </w:rPr>
    </w:lvl>
    <w:lvl w:ilvl="1" w:tentative="0">
      <w:start w:val="1"/>
      <w:numFmt w:val="lowerLetter"/>
      <w:lvlText w:val="%2)"/>
      <w:lvlJc w:val="left"/>
      <w:pPr>
        <w:ind w:left="1673" w:hanging="420"/>
      </w:pPr>
    </w:lvl>
    <w:lvl w:ilvl="2" w:tentative="0">
      <w:start w:val="1"/>
      <w:numFmt w:val="lowerRoman"/>
      <w:lvlText w:val="%3."/>
      <w:lvlJc w:val="right"/>
      <w:pPr>
        <w:ind w:left="2093" w:hanging="420"/>
      </w:pPr>
    </w:lvl>
    <w:lvl w:ilvl="3" w:tentative="0">
      <w:start w:val="1"/>
      <w:numFmt w:val="decimal"/>
      <w:lvlText w:val="%4."/>
      <w:lvlJc w:val="left"/>
      <w:pPr>
        <w:ind w:left="2513" w:hanging="420"/>
      </w:pPr>
    </w:lvl>
    <w:lvl w:ilvl="4" w:tentative="0">
      <w:start w:val="1"/>
      <w:numFmt w:val="lowerLetter"/>
      <w:lvlText w:val="%5)"/>
      <w:lvlJc w:val="left"/>
      <w:pPr>
        <w:ind w:left="2933" w:hanging="420"/>
      </w:pPr>
    </w:lvl>
    <w:lvl w:ilvl="5" w:tentative="0">
      <w:start w:val="1"/>
      <w:numFmt w:val="lowerRoman"/>
      <w:lvlText w:val="%6."/>
      <w:lvlJc w:val="right"/>
      <w:pPr>
        <w:ind w:left="3353" w:hanging="420"/>
      </w:pPr>
    </w:lvl>
    <w:lvl w:ilvl="6" w:tentative="0">
      <w:start w:val="1"/>
      <w:numFmt w:val="decimal"/>
      <w:lvlText w:val="%7."/>
      <w:lvlJc w:val="left"/>
      <w:pPr>
        <w:ind w:left="3773" w:hanging="420"/>
      </w:pPr>
    </w:lvl>
    <w:lvl w:ilvl="7" w:tentative="0">
      <w:start w:val="1"/>
      <w:numFmt w:val="lowerLetter"/>
      <w:lvlText w:val="%8)"/>
      <w:lvlJc w:val="left"/>
      <w:pPr>
        <w:ind w:left="4193" w:hanging="420"/>
      </w:pPr>
    </w:lvl>
    <w:lvl w:ilvl="8" w:tentative="0">
      <w:start w:val="1"/>
      <w:numFmt w:val="lowerRoman"/>
      <w:lvlText w:val="%9."/>
      <w:lvlJc w:val="right"/>
      <w:pPr>
        <w:ind w:left="4613" w:hanging="420"/>
      </w:pPr>
    </w:lvl>
  </w:abstractNum>
  <w:num w:numId="1">
    <w:abstractNumId w:val="2"/>
  </w:num>
  <w:num w:numId="2">
    <w:abstractNumId w:val="5"/>
  </w:num>
  <w:num w:numId="3">
    <w:abstractNumId w:val="6"/>
  </w:num>
  <w:num w:numId="4">
    <w:abstractNumId w:val="3"/>
  </w:num>
  <w:num w:numId="5">
    <w:abstractNumId w:val="1"/>
  </w:num>
  <w:num w:numId="6">
    <w:abstractNumId w:val="4"/>
  </w:num>
  <w:num w:numId="7">
    <w:abstractNumId w:val="5"/>
    <w:lvlOverride w:ilvl="0">
      <w:startOverride w:val="1"/>
    </w:lvlOverride>
  </w:num>
  <w:num w:numId="8">
    <w:abstractNumId w:val="5"/>
    <w:lvlOverride w:ilvl="0">
      <w:startOverride w:val="1"/>
    </w:lvlOverride>
  </w:num>
  <w:num w:numId="9">
    <w:abstractNumId w:val="5"/>
    <w:lvlOverride w:ilvl="0">
      <w:startOverride w:val="1"/>
    </w:lvlOverride>
  </w:num>
  <w:num w:numId="10">
    <w:abstractNumId w:val="5"/>
    <w:lvlOverride w:ilvl="0">
      <w:startOverride w:val="1"/>
    </w:lvlOverride>
  </w:num>
  <w:num w:numId="11">
    <w:abstractNumId w:val="5"/>
    <w:lvlOverride w:ilvl="0">
      <w:startOverride w:val="1"/>
    </w:lvlOverride>
  </w:num>
  <w:num w:numId="12">
    <w:abstractNumId w:val="5"/>
    <w:lvlOverride w:ilvl="0">
      <w:startOverride w:val="1"/>
    </w:lvlOverride>
  </w:num>
  <w:num w:numId="13">
    <w:abstractNumId w:val="5"/>
    <w:lvlOverride w:ilvl="0">
      <w:startOverride w:val="1"/>
    </w:lvlOverride>
  </w:num>
  <w:num w:numId="14">
    <w:abstractNumId w:val="5"/>
    <w:lvlOverride w:ilvl="0">
      <w:startOverride w:val="1"/>
    </w:lvlOverride>
  </w:num>
  <w:num w:numId="15">
    <w:abstractNumId w:val="5"/>
    <w:lvlOverride w:ilvl="0">
      <w:startOverride w:val="1"/>
    </w:lvlOverride>
  </w:num>
  <w:num w:numId="16">
    <w:abstractNumId w:val="5"/>
    <w:lvlOverride w:ilvl="0">
      <w:startOverride w:val="1"/>
    </w:lvlOverride>
  </w:num>
  <w:num w:numId="17">
    <w:abstractNumId w:val="5"/>
    <w:lvlOverride w:ilvl="0">
      <w:startOverride w:val="1"/>
    </w:lvlOverride>
  </w:num>
  <w:num w:numId="18">
    <w:abstractNumId w:val="9"/>
  </w:num>
  <w:num w:numId="19">
    <w:abstractNumId w:val="0"/>
  </w:num>
  <w:num w:numId="20">
    <w:abstractNumId w:val="7"/>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10F56413"/>
    <w:rsid w:val="1546183B"/>
    <w:rsid w:val="1E38498F"/>
    <w:rsid w:val="26D60966"/>
    <w:rsid w:val="46ED0A51"/>
    <w:rsid w:val="4E567E3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unhideWhenUsed="0" w:uiPriority="65" w:semiHidden="0" w:name="Medium List 1"/>
    <w:lsdException w:qFormat="1" w:unhideWhenUsed="0" w:uiPriority="66" w:semiHidden="0" w:name="Medium List 2"/>
    <w:lsdException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unhideWhenUsed="0" w:uiPriority="70" w:semiHidden="0" w:name="Dark List Accent 2"/>
    <w:lsdException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unhideWhenUsed="0" w:uiPriority="69" w:semiHidden="0" w:name="Medium Grid 3 Accent 3"/>
    <w:lsdException w:qFormat="1" w:unhideWhenUsed="0" w:uiPriority="70" w:semiHidden="0" w:name="Dark List Accent 3"/>
    <w:lsdException w:unhideWhenUsed="0" w:uiPriority="71" w:semiHidden="0" w:name="Colorful Shading Accent 3"/>
    <w:lsdException w:qFormat="1" w:unhideWhenUsed="0" w:uiPriority="72" w:semiHidden="0" w:name="Colorful List Accent 3"/>
    <w:lsdException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unhideWhenUsed="0" w:uiPriority="65" w:semiHidden="0" w:name="Medium List 1 Accent 4"/>
    <w:lsdException w:qFormat="1" w:unhideWhenUsed="0" w:uiPriority="66" w:semiHidden="0" w:name="Medium List 2 Accent 4"/>
    <w:lsdException w:unhideWhenUsed="0" w:uiPriority="67" w:semiHidden="0" w:name="Medium Grid 1 Accent 4"/>
    <w:lsdException w:qFormat="1"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qFormat="1" w:unhideWhenUsed="0" w:uiPriority="72" w:semiHidden="0" w:name="Colorful List Accent 5"/>
    <w:lsdException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before="0" w:after="0" w:line="276" w:lineRule="auto"/>
    </w:pPr>
    <w:rPr>
      <w:rFonts w:ascii="微软雅黑" w:hAnsi="微软雅黑" w:eastAsia="微软雅黑" w:cstheme="minorBidi"/>
      <w:sz w:val="24"/>
      <w:szCs w:val="22"/>
      <w:lang w:val="en-US" w:eastAsia="en-US" w:bidi="ar-SA"/>
    </w:rPr>
  </w:style>
  <w:style w:type="paragraph" w:styleId="5">
    <w:name w:val="heading 1"/>
    <w:basedOn w:val="1"/>
    <w:next w:val="1"/>
    <w:link w:val="142"/>
    <w:qFormat/>
    <w:uiPriority w:val="9"/>
    <w:pPr>
      <w:keepNext/>
      <w:keepLines/>
      <w:spacing w:before="480" w:after="0"/>
      <w:outlineLvl w:val="0"/>
    </w:pPr>
    <w:rPr>
      <w:rFonts w:ascii="微软雅黑" w:hAnsi="微软雅黑" w:eastAsia="微软雅黑" w:cs="微软雅黑"/>
      <w:b/>
      <w:bCs/>
      <w:color w:val="376092" w:themeColor="accent1" w:themeShade="BF"/>
      <w:sz w:val="28"/>
      <w:szCs w:val="28"/>
    </w:rPr>
  </w:style>
  <w:style w:type="paragraph" w:styleId="6">
    <w:name w:val="heading 2"/>
    <w:basedOn w:val="1"/>
    <w:next w:val="1"/>
    <w:link w:val="143"/>
    <w:unhideWhenUsed/>
    <w:qFormat/>
    <w:uiPriority w:val="9"/>
    <w:pPr>
      <w:keepNext/>
      <w:keepLines/>
      <w:spacing w:before="200" w:after="0"/>
      <w:outlineLvl w:val="1"/>
    </w:pPr>
    <w:rPr>
      <w:rFonts w:ascii="微软雅黑" w:hAnsi="微软雅黑" w:eastAsia="微软雅黑" w:cs="微软雅黑"/>
      <w:b/>
      <w:bCs/>
      <w:color w:val="4F81BD" w:themeColor="accent1"/>
      <w:sz w:val="26"/>
      <w:szCs w:val="26"/>
      <w14:textFill>
        <w14:solidFill>
          <w14:schemeClr w14:val="accent1"/>
        </w14:solidFill>
      </w14:textFill>
    </w:rPr>
  </w:style>
  <w:style w:type="paragraph" w:styleId="7">
    <w:name w:val="heading 3"/>
    <w:basedOn w:val="1"/>
    <w:next w:val="1"/>
    <w:link w:val="144"/>
    <w:unhideWhenUsed/>
    <w:qFormat/>
    <w:uiPriority w:val="9"/>
    <w:pPr>
      <w:keepNext/>
      <w:keepLines/>
      <w:spacing w:before="200" w:after="0"/>
      <w:outlineLvl w:val="2"/>
    </w:pPr>
    <w:rPr>
      <w:rFonts w:ascii="微软雅黑" w:hAnsi="微软雅黑" w:eastAsia="微软雅黑" w:cs="微软雅黑"/>
      <w:b/>
      <w:bCs/>
      <w:color w:val="4F81BD" w:themeColor="accent1"/>
      <w14:textFill>
        <w14:solidFill>
          <w14:schemeClr w14:val="accent1"/>
        </w14:solidFill>
      </w14:textFill>
    </w:rPr>
  </w:style>
  <w:style w:type="paragraph" w:styleId="8">
    <w:name w:val="heading 4"/>
    <w:basedOn w:val="1"/>
    <w:next w:val="1"/>
    <w:link w:val="154"/>
    <w:semiHidden/>
    <w:unhideWhenUsed/>
    <w:qFormat/>
    <w:uiPriority w:val="9"/>
    <w:pPr>
      <w:keepNext/>
      <w:keepLines/>
      <w:spacing w:before="200" w:after="0"/>
      <w:outlineLvl w:val="3"/>
    </w:pPr>
    <w:rPr>
      <w:rFonts w:ascii="微软雅黑" w:hAnsi="微软雅黑" w:eastAsia="微软雅黑" w:cs="微软雅黑"/>
      <w:b/>
      <w:bCs/>
      <w:color w:val="4F81BD" w:themeColor="accent1"/>
      <w14:textFill>
        <w14:solidFill>
          <w14:schemeClr w14:val="accent1"/>
        </w14:solidFill>
      </w14:textFill>
    </w:rPr>
  </w:style>
  <w:style w:type="paragraph" w:styleId="9">
    <w:name w:val="heading 5"/>
    <w:basedOn w:val="1"/>
    <w:next w:val="1"/>
    <w:link w:val="155"/>
    <w:semiHidden/>
    <w:unhideWhenUsed/>
    <w:qFormat/>
    <w:uiPriority w:val="9"/>
    <w:pPr>
      <w:keepNext/>
      <w:keepLines/>
      <w:spacing w:before="200" w:after="0"/>
      <w:outlineLvl w:val="4"/>
    </w:pPr>
    <w:rPr>
      <w:rFonts w:ascii="微软雅黑" w:hAnsi="微软雅黑" w:eastAsia="微软雅黑" w:cs="微软雅黑"/>
      <w:color w:val="254061" w:themeColor="accent1" w:themeShade="80"/>
    </w:rPr>
  </w:style>
  <w:style w:type="paragraph" w:styleId="10">
    <w:name w:val="heading 6"/>
    <w:basedOn w:val="1"/>
    <w:next w:val="1"/>
    <w:link w:val="156"/>
    <w:semiHidden/>
    <w:unhideWhenUsed/>
    <w:qFormat/>
    <w:uiPriority w:val="9"/>
    <w:pPr>
      <w:keepNext/>
      <w:keepLines/>
      <w:spacing w:before="200" w:after="0"/>
      <w:outlineLvl w:val="5"/>
    </w:pPr>
    <w:rPr>
      <w:rFonts w:ascii="微软雅黑" w:hAnsi="微软雅黑" w:eastAsia="微软雅黑" w:cs="微软雅黑"/>
      <w:color w:val="254061" w:themeColor="accent1" w:themeShade="80"/>
    </w:rPr>
  </w:style>
  <w:style w:type="paragraph" w:styleId="11">
    <w:name w:val="heading 7"/>
    <w:basedOn w:val="1"/>
    <w:next w:val="1"/>
    <w:link w:val="157"/>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2">
    <w:name w:val="heading 8"/>
    <w:basedOn w:val="1"/>
    <w:next w:val="1"/>
    <w:link w:val="158"/>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3">
    <w:name w:val="heading 9"/>
    <w:basedOn w:val="1"/>
    <w:next w:val="1"/>
    <w:link w:val="159"/>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6">
    <w:name w:val="Default Paragraph Font"/>
    <w:semiHidden/>
    <w:unhideWhenUsed/>
    <w:qFormat/>
    <w:uiPriority w:val="1"/>
  </w:style>
  <w:style w:type="table" w:default="1" w:styleId="36">
    <w:name w:val="Normal Table"/>
    <w:semiHidden/>
    <w:unhideWhenUsed/>
    <w:uiPriority w:val="99"/>
    <w:tblPr>
      <w:tblCellMar>
        <w:top w:w="0" w:type="dxa"/>
        <w:left w:w="108" w:type="dxa"/>
        <w:bottom w:w="0" w:type="dxa"/>
        <w:right w:w="108" w:type="dxa"/>
      </w:tblCellMar>
    </w:tblPr>
  </w:style>
  <w:style w:type="paragraph" w:styleId="2">
    <w:name w:val="Body Text First Indent"/>
    <w:basedOn w:val="3"/>
    <w:qFormat/>
    <w:uiPriority w:val="0"/>
    <w:pPr>
      <w:spacing w:after="0"/>
      <w:ind w:left="560" w:leftChars="200" w:firstLine="420" w:firstLineChars="100"/>
    </w:pPr>
    <w:rPr>
      <w:sz w:val="28"/>
    </w:rPr>
  </w:style>
  <w:style w:type="paragraph" w:styleId="3">
    <w:name w:val="Body Text"/>
    <w:basedOn w:val="1"/>
    <w:next w:val="1"/>
    <w:link w:val="148"/>
    <w:unhideWhenUsed/>
    <w:uiPriority w:val="99"/>
    <w:pPr>
      <w:spacing w:after="120"/>
    </w:pPr>
  </w:style>
  <w:style w:type="paragraph" w:styleId="4">
    <w:name w:val="macro"/>
    <w:link w:val="151"/>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4">
    <w:name w:val="List 3"/>
    <w:basedOn w:val="1"/>
    <w:unhideWhenUsed/>
    <w:qFormat/>
    <w:uiPriority w:val="99"/>
    <w:pPr>
      <w:ind w:left="1080" w:hanging="360"/>
      <w:contextualSpacing/>
    </w:pPr>
  </w:style>
  <w:style w:type="paragraph" w:styleId="15">
    <w:name w:val="List Number 2"/>
    <w:basedOn w:val="1"/>
    <w:unhideWhenUsed/>
    <w:qFormat/>
    <w:uiPriority w:val="99"/>
    <w:pPr>
      <w:numPr>
        <w:ilvl w:val="0"/>
        <w:numId w:val="1"/>
      </w:numPr>
      <w:contextualSpacing/>
    </w:pPr>
  </w:style>
  <w:style w:type="paragraph" w:styleId="16">
    <w:name w:val="List Number"/>
    <w:basedOn w:val="1"/>
    <w:unhideWhenUsed/>
    <w:qFormat/>
    <w:uiPriority w:val="99"/>
    <w:pPr>
      <w:numPr>
        <w:ilvl w:val="0"/>
        <w:numId w:val="2"/>
      </w:numPr>
      <w:contextualSpacing/>
    </w:pPr>
  </w:style>
  <w:style w:type="paragraph" w:styleId="17">
    <w:name w:val="Normal Indent"/>
    <w:basedOn w:val="1"/>
    <w:unhideWhenUsed/>
    <w:qFormat/>
    <w:uiPriority w:val="0"/>
    <w:pPr>
      <w:ind w:firstLine="420" w:firstLineChars="200"/>
    </w:pPr>
  </w:style>
  <w:style w:type="paragraph" w:styleId="18">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9">
    <w:name w:val="List Bullet"/>
    <w:basedOn w:val="1"/>
    <w:unhideWhenUsed/>
    <w:qFormat/>
    <w:uiPriority w:val="99"/>
    <w:pPr>
      <w:numPr>
        <w:ilvl w:val="0"/>
        <w:numId w:val="3"/>
      </w:numPr>
      <w:contextualSpacing/>
    </w:pPr>
  </w:style>
  <w:style w:type="paragraph" w:styleId="20">
    <w:name w:val="Body Text 3"/>
    <w:basedOn w:val="1"/>
    <w:link w:val="150"/>
    <w:unhideWhenUsed/>
    <w:qFormat/>
    <w:uiPriority w:val="99"/>
    <w:pPr>
      <w:spacing w:after="120"/>
    </w:pPr>
    <w:rPr>
      <w:sz w:val="16"/>
      <w:szCs w:val="16"/>
    </w:rPr>
  </w:style>
  <w:style w:type="paragraph" w:styleId="21">
    <w:name w:val="List Bullet 3"/>
    <w:basedOn w:val="1"/>
    <w:unhideWhenUsed/>
    <w:qFormat/>
    <w:uiPriority w:val="99"/>
    <w:pPr>
      <w:numPr>
        <w:ilvl w:val="0"/>
        <w:numId w:val="4"/>
      </w:numPr>
      <w:contextualSpacing/>
    </w:pPr>
  </w:style>
  <w:style w:type="paragraph" w:styleId="22">
    <w:name w:val="List Number 3"/>
    <w:basedOn w:val="1"/>
    <w:unhideWhenUsed/>
    <w:qFormat/>
    <w:uiPriority w:val="99"/>
    <w:pPr>
      <w:numPr>
        <w:ilvl w:val="0"/>
        <w:numId w:val="5"/>
      </w:numPr>
      <w:contextualSpacing/>
    </w:pPr>
  </w:style>
  <w:style w:type="paragraph" w:styleId="23">
    <w:name w:val="List 2"/>
    <w:basedOn w:val="1"/>
    <w:unhideWhenUsed/>
    <w:qFormat/>
    <w:uiPriority w:val="99"/>
    <w:pPr>
      <w:ind w:left="720" w:hanging="360"/>
      <w:contextualSpacing/>
    </w:pPr>
  </w:style>
  <w:style w:type="paragraph" w:styleId="24">
    <w:name w:val="List Continue"/>
    <w:basedOn w:val="1"/>
    <w:unhideWhenUsed/>
    <w:qFormat/>
    <w:uiPriority w:val="99"/>
    <w:pPr>
      <w:spacing w:after="120"/>
      <w:ind w:left="360"/>
      <w:contextualSpacing/>
    </w:pPr>
  </w:style>
  <w:style w:type="paragraph" w:styleId="25">
    <w:name w:val="List Bullet 2"/>
    <w:basedOn w:val="1"/>
    <w:unhideWhenUsed/>
    <w:qFormat/>
    <w:uiPriority w:val="99"/>
    <w:pPr>
      <w:numPr>
        <w:ilvl w:val="0"/>
        <w:numId w:val="6"/>
      </w:numPr>
      <w:contextualSpacing/>
    </w:pPr>
  </w:style>
  <w:style w:type="paragraph" w:styleId="26">
    <w:name w:val="Plain Text"/>
    <w:basedOn w:val="1"/>
    <w:qFormat/>
    <w:uiPriority w:val="0"/>
    <w:rPr>
      <w:rFonts w:ascii="宋体"/>
    </w:rPr>
  </w:style>
  <w:style w:type="paragraph" w:styleId="27">
    <w:name w:val="footer"/>
    <w:basedOn w:val="1"/>
    <w:link w:val="140"/>
    <w:unhideWhenUsed/>
    <w:qFormat/>
    <w:uiPriority w:val="99"/>
    <w:pPr>
      <w:tabs>
        <w:tab w:val="center" w:pos="4680"/>
        <w:tab w:val="right" w:pos="9360"/>
      </w:tabs>
      <w:spacing w:after="0" w:line="240" w:lineRule="auto"/>
    </w:pPr>
  </w:style>
  <w:style w:type="paragraph" w:styleId="28">
    <w:name w:val="header"/>
    <w:basedOn w:val="1"/>
    <w:link w:val="139"/>
    <w:unhideWhenUsed/>
    <w:qFormat/>
    <w:uiPriority w:val="99"/>
    <w:pPr>
      <w:tabs>
        <w:tab w:val="center" w:pos="4680"/>
        <w:tab w:val="right" w:pos="9360"/>
      </w:tabs>
      <w:spacing w:after="0" w:line="240" w:lineRule="auto"/>
    </w:pPr>
  </w:style>
  <w:style w:type="paragraph" w:styleId="29">
    <w:name w:val="Subtitle"/>
    <w:basedOn w:val="1"/>
    <w:next w:val="1"/>
    <w:link w:val="14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30">
    <w:name w:val="List"/>
    <w:basedOn w:val="1"/>
    <w:unhideWhenUsed/>
    <w:qFormat/>
    <w:uiPriority w:val="99"/>
    <w:pPr>
      <w:ind w:left="360" w:hanging="360"/>
      <w:contextualSpacing/>
    </w:pPr>
  </w:style>
  <w:style w:type="paragraph" w:styleId="31">
    <w:name w:val="Body Text 2"/>
    <w:basedOn w:val="1"/>
    <w:link w:val="149"/>
    <w:unhideWhenUsed/>
    <w:qFormat/>
    <w:uiPriority w:val="99"/>
    <w:pPr>
      <w:spacing w:after="120" w:line="480" w:lineRule="auto"/>
    </w:pPr>
  </w:style>
  <w:style w:type="paragraph" w:styleId="32">
    <w:name w:val="List Continue 2"/>
    <w:basedOn w:val="1"/>
    <w:unhideWhenUsed/>
    <w:qFormat/>
    <w:uiPriority w:val="99"/>
    <w:pPr>
      <w:spacing w:after="120"/>
      <w:ind w:left="720"/>
      <w:contextualSpacing/>
    </w:pPr>
  </w:style>
  <w:style w:type="paragraph" w:styleId="33">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34">
    <w:name w:val="List Continue 3"/>
    <w:basedOn w:val="1"/>
    <w:unhideWhenUsed/>
    <w:qFormat/>
    <w:uiPriority w:val="99"/>
    <w:pPr>
      <w:spacing w:after="120"/>
      <w:ind w:left="1080"/>
      <w:contextualSpacing/>
    </w:pPr>
  </w:style>
  <w:style w:type="paragraph" w:styleId="35">
    <w:name w:val="Title"/>
    <w:basedOn w:val="1"/>
    <w:next w:val="1"/>
    <w:link w:val="145"/>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7">
    <w:name w:val="Table Grid"/>
    <w:basedOn w:val="36"/>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8">
    <w:name w:val="Light Shading"/>
    <w:basedOn w:val="36"/>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9">
    <w:name w:val="Light Shading Accent 1"/>
    <w:basedOn w:val="36"/>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40">
    <w:name w:val="Light Shading Accent 2"/>
    <w:basedOn w:val="36"/>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41">
    <w:name w:val="Light Shading Accent 3"/>
    <w:basedOn w:val="36"/>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2">
    <w:name w:val="Light Shading Accent 4"/>
    <w:basedOn w:val="36"/>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3">
    <w:name w:val="Light Shading Accent 5"/>
    <w:basedOn w:val="36"/>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4">
    <w:name w:val="Light Shading Accent 6"/>
    <w:basedOn w:val="36"/>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5">
    <w:name w:val="Light List"/>
    <w:basedOn w:val="36"/>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6">
    <w:name w:val="Light List Accent 1"/>
    <w:basedOn w:val="36"/>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7">
    <w:name w:val="Light List Accent 2"/>
    <w:basedOn w:val="36"/>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8">
    <w:name w:val="Light List Accent 3"/>
    <w:basedOn w:val="36"/>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9">
    <w:name w:val="Light List Accent 4"/>
    <w:basedOn w:val="36"/>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50">
    <w:name w:val="Light List Accent 5"/>
    <w:basedOn w:val="36"/>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51">
    <w:name w:val="Light List Accent 6"/>
    <w:basedOn w:val="36"/>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52">
    <w:name w:val="Light Grid"/>
    <w:basedOn w:val="36"/>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3">
    <w:name w:val="Light Grid Accent 1"/>
    <w:basedOn w:val="36"/>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4">
    <w:name w:val="Light Grid Accent 2"/>
    <w:basedOn w:val="36"/>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5">
    <w:name w:val="Light Grid Accent 3"/>
    <w:basedOn w:val="36"/>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6">
    <w:name w:val="Light Grid Accent 4"/>
    <w:basedOn w:val="36"/>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7">
    <w:name w:val="Light Grid Accent 5"/>
    <w:basedOn w:val="36"/>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8">
    <w:name w:val="Light Grid Accent 6"/>
    <w:basedOn w:val="36"/>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9">
    <w:name w:val="Medium Shading 1"/>
    <w:basedOn w:val="36"/>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60">
    <w:name w:val="Medium Shading 1 Accent 1"/>
    <w:basedOn w:val="36"/>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61">
    <w:name w:val="Medium Shading 1 Accent 2"/>
    <w:basedOn w:val="36"/>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62">
    <w:name w:val="Medium Shading 1 Accent 3"/>
    <w:basedOn w:val="36"/>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3">
    <w:name w:val="Medium Shading 1 Accent 4"/>
    <w:basedOn w:val="36"/>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4">
    <w:name w:val="Medium Shading 1 Accent 5"/>
    <w:basedOn w:val="36"/>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5">
    <w:name w:val="Medium Shading 1 Accent 6"/>
    <w:basedOn w:val="36"/>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6">
    <w:name w:val="Medium Shading 2"/>
    <w:basedOn w:val="36"/>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1"/>
    <w:basedOn w:val="36"/>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2"/>
    <w:basedOn w:val="36"/>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3"/>
    <w:basedOn w:val="36"/>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Shading 2 Accent 4"/>
    <w:basedOn w:val="36"/>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1">
    <w:name w:val="Medium Shading 2 Accent 5"/>
    <w:basedOn w:val="36"/>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2">
    <w:name w:val="Medium Shading 2 Accent 6"/>
    <w:basedOn w:val="36"/>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3">
    <w:name w:val="Medium List 1"/>
    <w:basedOn w:val="36"/>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4">
    <w:name w:val="Medium List 1 Accent 1"/>
    <w:basedOn w:val="36"/>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5">
    <w:name w:val="Medium List 1 Accent 2"/>
    <w:basedOn w:val="36"/>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6">
    <w:name w:val="Medium List 1 Accent 3"/>
    <w:basedOn w:val="36"/>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7">
    <w:name w:val="Medium List 1 Accent 4"/>
    <w:basedOn w:val="36"/>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8">
    <w:name w:val="Medium List 1 Accent 5"/>
    <w:basedOn w:val="36"/>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9">
    <w:name w:val="Medium List 1 Accent 6"/>
    <w:basedOn w:val="36"/>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80">
    <w:name w:val="Medium List 2"/>
    <w:basedOn w:val="36"/>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1"/>
    <w:basedOn w:val="36"/>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2"/>
    <w:basedOn w:val="36"/>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3"/>
    <w:basedOn w:val="36"/>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List 2 Accent 4"/>
    <w:basedOn w:val="36"/>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5">
    <w:name w:val="Medium List 2 Accent 5"/>
    <w:basedOn w:val="36"/>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6">
    <w:name w:val="Medium List 2 Accent 6"/>
    <w:basedOn w:val="36"/>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7">
    <w:name w:val="Medium Grid 1"/>
    <w:basedOn w:val="36"/>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8">
    <w:name w:val="Medium Grid 1 Accent 1"/>
    <w:basedOn w:val="36"/>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9">
    <w:name w:val="Medium Grid 1 Accent 2"/>
    <w:basedOn w:val="36"/>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90">
    <w:name w:val="Medium Grid 1 Accent 3"/>
    <w:basedOn w:val="36"/>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91">
    <w:name w:val="Medium Grid 1 Accent 4"/>
    <w:basedOn w:val="36"/>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92">
    <w:name w:val="Medium Grid 1 Accent 5"/>
    <w:basedOn w:val="36"/>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3">
    <w:name w:val="Medium Grid 1 Accent 6"/>
    <w:basedOn w:val="36"/>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4">
    <w:name w:val="Medium Grid 2"/>
    <w:basedOn w:val="36"/>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5">
    <w:name w:val="Medium Grid 2 Accent 1"/>
    <w:basedOn w:val="36"/>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6">
    <w:name w:val="Medium Grid 2 Accent 2"/>
    <w:basedOn w:val="36"/>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7">
    <w:name w:val="Medium Grid 2 Accent 3"/>
    <w:basedOn w:val="36"/>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8">
    <w:name w:val="Medium Grid 2 Accent 4"/>
    <w:basedOn w:val="36"/>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9">
    <w:name w:val="Medium Grid 2 Accent 5"/>
    <w:basedOn w:val="36"/>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100">
    <w:name w:val="Medium Grid 2 Accent 6"/>
    <w:basedOn w:val="36"/>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101">
    <w:name w:val="Medium Grid 3"/>
    <w:basedOn w:val="36"/>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02">
    <w:name w:val="Medium Grid 3 Accent 1"/>
    <w:basedOn w:val="36"/>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3">
    <w:name w:val="Medium Grid 3 Accent 2"/>
    <w:basedOn w:val="36"/>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4">
    <w:name w:val="Medium Grid 3 Accent 3"/>
    <w:basedOn w:val="36"/>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5">
    <w:name w:val="Medium Grid 3 Accent 4"/>
    <w:basedOn w:val="36"/>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6">
    <w:name w:val="Medium Grid 3 Accent 5"/>
    <w:basedOn w:val="36"/>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7">
    <w:name w:val="Medium Grid 3 Accent 6"/>
    <w:basedOn w:val="36"/>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8">
    <w:name w:val="Dark List"/>
    <w:basedOn w:val="36"/>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9">
    <w:name w:val="Dark List Accent 1"/>
    <w:basedOn w:val="36"/>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10">
    <w:name w:val="Dark List Accent 2"/>
    <w:basedOn w:val="36"/>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11">
    <w:name w:val="Dark List Accent 3"/>
    <w:basedOn w:val="36"/>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2">
    <w:name w:val="Dark List Accent 4"/>
    <w:basedOn w:val="36"/>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3">
    <w:name w:val="Dark List Accent 5"/>
    <w:basedOn w:val="36"/>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4">
    <w:name w:val="Dark List Accent 6"/>
    <w:basedOn w:val="36"/>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5">
    <w:name w:val="Colorful Shading"/>
    <w:basedOn w:val="36"/>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1"/>
    <w:basedOn w:val="36"/>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2"/>
    <w:basedOn w:val="36"/>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3"/>
    <w:basedOn w:val="36"/>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9">
    <w:name w:val="Colorful Shading Accent 4"/>
    <w:basedOn w:val="36"/>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0">
    <w:name w:val="Colorful Shading Accent 5"/>
    <w:basedOn w:val="36"/>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1">
    <w:name w:val="Colorful Shading Accent 6"/>
    <w:basedOn w:val="36"/>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2">
    <w:name w:val="Colorful List"/>
    <w:basedOn w:val="36"/>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3">
    <w:name w:val="Colorful List Accent 1"/>
    <w:basedOn w:val="36"/>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4">
    <w:name w:val="Colorful List Accent 2"/>
    <w:basedOn w:val="36"/>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5">
    <w:name w:val="Colorful List Accent 3"/>
    <w:basedOn w:val="36"/>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6">
    <w:name w:val="Colorful List Accent 4"/>
    <w:basedOn w:val="36"/>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7">
    <w:name w:val="Colorful List Accent 5"/>
    <w:basedOn w:val="36"/>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8">
    <w:name w:val="Colorful List Accent 6"/>
    <w:basedOn w:val="36"/>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9">
    <w:name w:val="Colorful Grid"/>
    <w:basedOn w:val="36"/>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30">
    <w:name w:val="Colorful Grid Accent 1"/>
    <w:basedOn w:val="36"/>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31">
    <w:name w:val="Colorful Grid Accent 2"/>
    <w:basedOn w:val="36"/>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2">
    <w:name w:val="Colorful Grid Accent 3"/>
    <w:basedOn w:val="36"/>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3">
    <w:name w:val="Colorful Grid Accent 4"/>
    <w:basedOn w:val="36"/>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4">
    <w:name w:val="Colorful Grid Accent 5"/>
    <w:basedOn w:val="36"/>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5">
    <w:name w:val="Colorful Grid Accent 6"/>
    <w:basedOn w:val="36"/>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7">
    <w:name w:val="Strong"/>
    <w:basedOn w:val="136"/>
    <w:qFormat/>
    <w:uiPriority w:val="22"/>
    <w:rPr>
      <w:b/>
      <w:bCs/>
    </w:rPr>
  </w:style>
  <w:style w:type="character" w:styleId="138">
    <w:name w:val="Emphasis"/>
    <w:basedOn w:val="136"/>
    <w:qFormat/>
    <w:uiPriority w:val="20"/>
    <w:rPr>
      <w:i/>
      <w:iCs/>
    </w:rPr>
  </w:style>
  <w:style w:type="character" w:customStyle="1" w:styleId="139">
    <w:name w:val="Header Char"/>
    <w:basedOn w:val="136"/>
    <w:link w:val="28"/>
    <w:qFormat/>
    <w:uiPriority w:val="99"/>
  </w:style>
  <w:style w:type="character" w:customStyle="1" w:styleId="140">
    <w:name w:val="Footer Char"/>
    <w:basedOn w:val="136"/>
    <w:link w:val="27"/>
    <w:qFormat/>
    <w:uiPriority w:val="99"/>
  </w:style>
  <w:style w:type="paragraph" w:styleId="141">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42">
    <w:name w:val="Heading 1 Char"/>
    <w:basedOn w:val="136"/>
    <w:link w:val="5"/>
    <w:uiPriority w:val="9"/>
    <w:rPr>
      <w:rFonts w:asciiTheme="majorHAnsi" w:hAnsiTheme="majorHAnsi" w:eastAsiaTheme="majorEastAsia" w:cstheme="majorBidi"/>
      <w:b/>
      <w:bCs/>
      <w:color w:val="376092" w:themeColor="accent1" w:themeShade="BF"/>
      <w:sz w:val="28"/>
      <w:szCs w:val="28"/>
    </w:rPr>
  </w:style>
  <w:style w:type="character" w:customStyle="1" w:styleId="143">
    <w:name w:val="Heading 2 Char"/>
    <w:basedOn w:val="136"/>
    <w:link w:val="6"/>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4">
    <w:name w:val="Heading 3 Char"/>
    <w:basedOn w:val="136"/>
    <w:link w:val="7"/>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5">
    <w:name w:val="Title Char"/>
    <w:basedOn w:val="136"/>
    <w:link w:val="35"/>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6">
    <w:name w:val="Subtitle Char"/>
    <w:basedOn w:val="136"/>
    <w:link w:val="29"/>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7">
    <w:name w:val="List Paragraph"/>
    <w:basedOn w:val="1"/>
    <w:qFormat/>
    <w:uiPriority w:val="34"/>
    <w:pPr>
      <w:ind w:left="720"/>
      <w:contextualSpacing/>
    </w:pPr>
  </w:style>
  <w:style w:type="character" w:customStyle="1" w:styleId="148">
    <w:name w:val="Body Text Char"/>
    <w:basedOn w:val="136"/>
    <w:link w:val="3"/>
    <w:qFormat/>
    <w:uiPriority w:val="99"/>
  </w:style>
  <w:style w:type="character" w:customStyle="1" w:styleId="149">
    <w:name w:val="Body Text 2 Char"/>
    <w:basedOn w:val="136"/>
    <w:link w:val="31"/>
    <w:qFormat/>
    <w:uiPriority w:val="99"/>
  </w:style>
  <w:style w:type="character" w:customStyle="1" w:styleId="150">
    <w:name w:val="Body Text 3 Char"/>
    <w:basedOn w:val="136"/>
    <w:link w:val="20"/>
    <w:qFormat/>
    <w:uiPriority w:val="99"/>
    <w:rPr>
      <w:sz w:val="16"/>
      <w:szCs w:val="16"/>
    </w:rPr>
  </w:style>
  <w:style w:type="character" w:customStyle="1" w:styleId="151">
    <w:name w:val="Macro Text Char"/>
    <w:basedOn w:val="136"/>
    <w:link w:val="4"/>
    <w:qFormat/>
    <w:uiPriority w:val="99"/>
    <w:rPr>
      <w:rFonts w:ascii="Courier" w:hAnsi="Courier"/>
      <w:sz w:val="20"/>
      <w:szCs w:val="20"/>
    </w:rPr>
  </w:style>
  <w:style w:type="paragraph" w:styleId="152">
    <w:name w:val="Quote"/>
    <w:basedOn w:val="1"/>
    <w:next w:val="1"/>
    <w:link w:val="153"/>
    <w:qFormat/>
    <w:uiPriority w:val="29"/>
    <w:rPr>
      <w:i/>
      <w:iCs/>
      <w:color w:val="000000" w:themeColor="text1"/>
      <w14:textFill>
        <w14:solidFill>
          <w14:schemeClr w14:val="tx1"/>
        </w14:solidFill>
      </w14:textFill>
    </w:rPr>
  </w:style>
  <w:style w:type="character" w:customStyle="1" w:styleId="153">
    <w:name w:val="Quote Char"/>
    <w:basedOn w:val="136"/>
    <w:link w:val="152"/>
    <w:qFormat/>
    <w:uiPriority w:val="29"/>
    <w:rPr>
      <w:i/>
      <w:iCs/>
      <w:color w:val="000000" w:themeColor="text1"/>
      <w14:textFill>
        <w14:solidFill>
          <w14:schemeClr w14:val="tx1"/>
        </w14:solidFill>
      </w14:textFill>
    </w:rPr>
  </w:style>
  <w:style w:type="character" w:customStyle="1" w:styleId="154">
    <w:name w:val="Heading 4 Char"/>
    <w:basedOn w:val="136"/>
    <w:link w:val="8"/>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5">
    <w:name w:val="Heading 5 Char"/>
    <w:basedOn w:val="136"/>
    <w:link w:val="9"/>
    <w:semiHidden/>
    <w:qFormat/>
    <w:uiPriority w:val="9"/>
    <w:rPr>
      <w:rFonts w:asciiTheme="majorHAnsi" w:hAnsiTheme="majorHAnsi" w:eastAsiaTheme="majorEastAsia" w:cstheme="majorBidi"/>
      <w:color w:val="254061" w:themeColor="accent1" w:themeShade="80"/>
    </w:rPr>
  </w:style>
  <w:style w:type="character" w:customStyle="1" w:styleId="156">
    <w:name w:val="Heading 6 Char"/>
    <w:basedOn w:val="136"/>
    <w:link w:val="10"/>
    <w:semiHidden/>
    <w:qFormat/>
    <w:uiPriority w:val="9"/>
    <w:rPr>
      <w:rFonts w:asciiTheme="majorHAnsi" w:hAnsiTheme="majorHAnsi" w:eastAsiaTheme="majorEastAsia" w:cstheme="majorBidi"/>
      <w:i/>
      <w:iCs/>
      <w:color w:val="254061" w:themeColor="accent1" w:themeShade="80"/>
    </w:rPr>
  </w:style>
  <w:style w:type="character" w:customStyle="1" w:styleId="157">
    <w:name w:val="Heading 7 Char"/>
    <w:basedOn w:val="136"/>
    <w:link w:val="11"/>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8">
    <w:name w:val="Heading 8 Char"/>
    <w:basedOn w:val="136"/>
    <w:link w:val="12"/>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9">
    <w:name w:val="Heading 9 Char"/>
    <w:basedOn w:val="136"/>
    <w:link w:val="13"/>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60">
    <w:name w:val="Intense Quote"/>
    <w:basedOn w:val="1"/>
    <w:next w:val="1"/>
    <w:link w:val="161"/>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61">
    <w:name w:val="Intense Quote Char"/>
    <w:basedOn w:val="136"/>
    <w:link w:val="160"/>
    <w:qFormat/>
    <w:uiPriority w:val="30"/>
    <w:rPr>
      <w:b/>
      <w:bCs/>
      <w:i/>
      <w:iCs/>
      <w:color w:val="4F81BD" w:themeColor="accent1"/>
      <w14:textFill>
        <w14:solidFill>
          <w14:schemeClr w14:val="accent1"/>
        </w14:solidFill>
      </w14:textFill>
    </w:rPr>
  </w:style>
  <w:style w:type="character" w:customStyle="1" w:styleId="162">
    <w:name w:val="Subtle Emphasis"/>
    <w:basedOn w:val="136"/>
    <w:qFormat/>
    <w:uiPriority w:val="19"/>
    <w:rPr>
      <w:i/>
      <w:iCs/>
      <w:color w:val="808080" w:themeColor="text1" w:themeTint="80"/>
      <w14:textFill>
        <w14:solidFill>
          <w14:schemeClr w14:val="tx1">
            <w14:lumMod w14:val="50000"/>
            <w14:lumOff w14:val="50000"/>
          </w14:schemeClr>
        </w14:solidFill>
      </w14:textFill>
    </w:rPr>
  </w:style>
  <w:style w:type="character" w:customStyle="1" w:styleId="163">
    <w:name w:val="Intense Emphasis"/>
    <w:basedOn w:val="136"/>
    <w:qFormat/>
    <w:uiPriority w:val="21"/>
    <w:rPr>
      <w:b/>
      <w:bCs/>
      <w:i/>
      <w:iCs/>
      <w:color w:val="4F81BD" w:themeColor="accent1"/>
      <w14:textFill>
        <w14:solidFill>
          <w14:schemeClr w14:val="accent1"/>
        </w14:solidFill>
      </w14:textFill>
    </w:rPr>
  </w:style>
  <w:style w:type="character" w:customStyle="1" w:styleId="164">
    <w:name w:val="Subtle Reference"/>
    <w:basedOn w:val="136"/>
    <w:qFormat/>
    <w:uiPriority w:val="31"/>
    <w:rPr>
      <w:smallCaps/>
      <w:color w:val="C0504D" w:themeColor="accent2"/>
      <w:u w:val="single"/>
      <w14:textFill>
        <w14:solidFill>
          <w14:schemeClr w14:val="accent2"/>
        </w14:solidFill>
      </w14:textFill>
    </w:rPr>
  </w:style>
  <w:style w:type="character" w:customStyle="1" w:styleId="165">
    <w:name w:val="Intense Reference"/>
    <w:basedOn w:val="136"/>
    <w:qFormat/>
    <w:uiPriority w:val="32"/>
    <w:rPr>
      <w:b/>
      <w:bCs/>
      <w:smallCaps/>
      <w:color w:val="C0504D" w:themeColor="accent2"/>
      <w:spacing w:val="5"/>
      <w:u w:val="single"/>
      <w14:textFill>
        <w14:solidFill>
          <w14:schemeClr w14:val="accent2"/>
        </w14:solidFill>
      </w14:textFill>
    </w:rPr>
  </w:style>
  <w:style w:type="character" w:customStyle="1" w:styleId="166">
    <w:name w:val="Book Title"/>
    <w:basedOn w:val="136"/>
    <w:qFormat/>
    <w:uiPriority w:val="33"/>
    <w:rPr>
      <w:b/>
      <w:bCs/>
      <w:smallCaps/>
      <w:spacing w:val="5"/>
    </w:rPr>
  </w:style>
  <w:style w:type="paragraph" w:customStyle="1" w:styleId="167">
    <w:name w:val="TOC Heading"/>
    <w:basedOn w:val="5"/>
    <w:next w:val="1"/>
    <w:semiHidden/>
    <w:unhideWhenUsed/>
    <w:qFormat/>
    <w:uiPriority w:val="39"/>
    <w:pPr>
      <w:outlineLvl w:val="9"/>
    </w:pPr>
  </w:style>
  <w:style w:type="paragraph" w:customStyle="1" w:styleId="168">
    <w:name w:val="Z丁玮4"/>
    <w:basedOn w:val="17"/>
    <w:autoRedefine/>
    <w:qFormat/>
    <w:uiPriority w:val="0"/>
    <w:pPr>
      <w:spacing w:line="560" w:lineRule="exact"/>
    </w:pPr>
    <w:rPr>
      <w:rFonts w:ascii="Times New Roman" w:hAnsi="Times New Roman" w:eastAsia="仿宋_GB2312" w:cs="Times New Roman"/>
      <w:sz w:val="32"/>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36</Pages>
  <Words>9633</Words>
  <Characters>10102</Characters>
  <Lines>0</Lines>
  <Paragraphs>0</Paragraphs>
  <TotalTime>2</TotalTime>
  <ScaleCrop>false</ScaleCrop>
  <LinksUpToDate>false</LinksUpToDate>
  <CharactersWithSpaces>10477</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苗子</cp:lastModifiedBy>
  <dcterms:modified xsi:type="dcterms:W3CDTF">2026-04-07T09:21:22Z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eyJoZGlkIjoiYWMwZDE5MGE4NDhjMDcyNWM4OTNkNzAzZTdjZDc5YmQiLCJ1c2VySWQiOiIzNTg2ODAxMDgifQ==</vt:lpwstr>
  </property>
  <property fmtid="{D5CDD505-2E9C-101B-9397-08002B2CF9AE}" pid="3" name="KSOProductBuildVer">
    <vt:lpwstr>2052-12.1.0.25222</vt:lpwstr>
  </property>
  <property fmtid="{D5CDD505-2E9C-101B-9397-08002B2CF9AE}" pid="4" name="ICV">
    <vt:lpwstr>EA22E45386C34336ACF3191771BF9066_12</vt:lpwstr>
  </property>
</Properties>
</file>