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版本号：JXZB2026-W201620260408001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雨达康、埃顿二期、定制化标准厂房项目用地范围内通信线路迁改工程(二次)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JXZB2026-W2016</w:t>
      </w:r>
      <w:r>
        <w:br/>
      </w:r>
      <w:r>
        <w:br/>
      </w:r>
      <w:r>
        <w:br/>
      </w:r>
    </w:p>
    <w:p>
      <w:pPr>
        <w:pStyle w:val="null3"/>
        <w:jc w:val="center"/>
        <w:outlineLvl w:val="2"/>
      </w:pPr>
      <w:r>
        <w:rPr>
          <w:rFonts w:ascii="仿宋_GB2312" w:hAnsi="仿宋_GB2312" w:cs="仿宋_GB2312" w:eastAsia="仿宋_GB2312"/>
          <w:sz w:val="28"/>
          <w:b/>
        </w:rPr>
        <w:t>西安市鄠邑区庞光街道办事处</w:t>
      </w:r>
    </w:p>
    <w:p>
      <w:pPr>
        <w:pStyle w:val="null3"/>
        <w:jc w:val="center"/>
        <w:outlineLvl w:val="2"/>
      </w:pPr>
      <w:r>
        <w:rPr>
          <w:rFonts w:ascii="仿宋_GB2312" w:hAnsi="仿宋_GB2312" w:cs="仿宋_GB2312" w:eastAsia="仿宋_GB2312"/>
          <w:sz w:val="28"/>
          <w:b/>
        </w:rPr>
        <w:t>中天久信管理咨询集团有限公司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中天久信管理咨询集团有限公司</w:t>
      </w:r>
      <w:r>
        <w:rPr>
          <w:rFonts w:ascii="仿宋_GB2312" w:hAnsi="仿宋_GB2312" w:cs="仿宋_GB2312" w:eastAsia="仿宋_GB2312"/>
        </w:rPr>
        <w:t>（以下简称“代理机构”）受</w:t>
      </w:r>
      <w:r>
        <w:rPr>
          <w:rFonts w:ascii="仿宋_GB2312" w:hAnsi="仿宋_GB2312" w:cs="仿宋_GB2312" w:eastAsia="仿宋_GB2312"/>
        </w:rPr>
        <w:t>西安市鄠邑区庞光街道办事处</w:t>
      </w:r>
      <w:r>
        <w:rPr>
          <w:rFonts w:ascii="仿宋_GB2312" w:hAnsi="仿宋_GB2312" w:cs="仿宋_GB2312" w:eastAsia="仿宋_GB2312"/>
        </w:rPr>
        <w:t>委托，拟对</w:t>
      </w:r>
      <w:r>
        <w:rPr>
          <w:rFonts w:ascii="仿宋_GB2312" w:hAnsi="仿宋_GB2312" w:cs="仿宋_GB2312" w:eastAsia="仿宋_GB2312"/>
        </w:rPr>
        <w:t>雨达康、埃顿二期、定制化标准厂房项目用地范围内通信线路迁改工程(二次)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JXZB2026-W2016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雨达康、埃顿二期、定制化标准厂房项目用地范围内通信线路迁改工程(二次)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雨达康、埃顿二期、定制化标准厂房项目用地范围内通信线路迁改工程。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采购包1（雨达康、埃顿二期、定制化标准厂房项目用地范围内通信线路迁改工程）：属于专门面向中小企业采购。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1、具有独立承担民事责任能力：提供营业执照/事业单位法人证书/专业服务机构执业许可证/民办非企业单位登记证书/自然人身份证明等。</w:t>
      </w:r>
    </w:p>
    <w:p>
      <w:pPr>
        <w:pStyle w:val="null3"/>
      </w:pPr>
      <w:r>
        <w:rPr>
          <w:rFonts w:ascii="仿宋_GB2312" w:hAnsi="仿宋_GB2312" w:cs="仿宋_GB2312" w:eastAsia="仿宋_GB2312"/>
        </w:rPr>
        <w:t>2、基本资格条件承诺函：提供《基本资格条件承诺函》，供应商应对承诺内容的真实性、合法性、有效性负责。经调查核实为虚假承诺的，视同为“提供虚假材料谋取中标、成交”的违法行为，依照《中华人民共和国政府采购法》等法律法规追究相应责任。 不提供《基本资格条件承诺函》的供应商需提交如下资格证明文件： ①财务状况报告：提供具有经审计资质单位出具的2024年度或2025年度的财务审计报告，成立时间至提交投标文件截止时间不足一年的可提供成立后任意时段的资产负债表；或其开标前六个月内基本存款账户开户银行出具的资信证明；或信用担保机构出具的投标担保函。（以上三种形式的资料提供任何一种即可）； ②提供具有履行合同所必需的设备和专业技术能力的承诺； ③提供开标时间前6个月内任意时段的纳税证明或完税证明（以所属时间为准），纳税证明或完税证明上应有代收机构或税务机关的公章或业务专用章。依法免税的供应商应提供相关文件证明； ④提供开标时间前6个月内任意时段的社会保障资金缴存单据或社保机构开具的社会保险参保缴费情况证明（以所属时间为准），依法不需要缴纳社会保障资金的单位应提供相关证明材料； ⑤参加政府采购活动前3年内，在经营活动中没有重大违法记录的书面声明（格式自拟）。</w:t>
      </w:r>
    </w:p>
    <w:p>
      <w:pPr>
        <w:pStyle w:val="null3"/>
      </w:pPr>
      <w:r>
        <w:rPr>
          <w:rFonts w:ascii="仿宋_GB2312" w:hAnsi="仿宋_GB2312" w:cs="仿宋_GB2312" w:eastAsia="仿宋_GB2312"/>
        </w:rPr>
        <w:t>3、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4、法定代表人授权书：法定代表人参加磋商的，须提供本人身份证复印件（附在响应文件中）；法定代表人授权他人参加磋商的，须提供法定代表人授权委托书，同时需提供被授权人递交响应文件截止之日前3个月的社会保险缴纳证明（入职未满3个月，按实际入职时间提供社会保险缴纳证明；若入职时间短未缴纳社会保险，需提供劳动合同）。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5、供应商及拟派项目负责人资质和专业要求：1.供应商须具备建设行政主管部门颁发的通信工程施工总承包三级以上(含三级)资质，且具备有效的安全生产许可证； 2.拟派项目负责人须具备通信与广电工程专业一级注册建造师资格证书和安全生产考核合格证（B证），在本单位注册，且无在建工程； 3.企业及项目经理基本信息在“陕西省住房和城乡建设厅（https://js.shaanxi.gov.cn/）陕西省建筑市场监管与诚信信息发布平台”可查询。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西安市鄠邑区庞光街道办事处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西安市鄠邑区庞光街道府前街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西安市鄠邑区庞光街道办事处经办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029-84987322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中天久信管理咨询集团有限公司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西安市高新区锦业路38号粤汉国际C座14层（F层）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屈琳妮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029-89525802（转8001）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采购包1：1,126,319.24元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代理服务费收费标准：成交金额100万元及以下，费率按照1.5%计取，成交金额100万元-500万元，费率按照1.1%计取。 代理服务费缴纳信息： 户 名：中天久信管理咨询集团有限公司 开户银行：建行西安丰禾路支行 账 号：61001744100052500118</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西安市鄠邑区庞光街道办事处</w:t>
      </w:r>
      <w:r>
        <w:rPr>
          <w:rFonts w:ascii="仿宋_GB2312" w:hAnsi="仿宋_GB2312" w:cs="仿宋_GB2312" w:eastAsia="仿宋_GB2312"/>
        </w:rPr>
        <w:t>和</w:t>
      </w:r>
      <w:r>
        <w:rPr>
          <w:rFonts w:ascii="仿宋_GB2312" w:hAnsi="仿宋_GB2312" w:cs="仿宋_GB2312" w:eastAsia="仿宋_GB2312"/>
        </w:rPr>
        <w:t>中天久信管理咨询集团有限公司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西安市鄠邑区庞光街道办事处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中天久信管理咨询集团有限公司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西安市鄠邑区庞光街道办事处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中天久信管理咨询集团有限公司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详见文件及合同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西安市鄠邑区庞光街道办事处</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中天久信管理咨询集团有限公司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中天久信管理咨询集团有限公司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联系人：屈琳妮</w:t>
      </w:r>
    </w:p>
    <w:p>
      <w:pPr>
        <w:pStyle w:val="null3"/>
      </w:pPr>
      <w:r>
        <w:rPr>
          <w:rFonts w:ascii="仿宋_GB2312" w:hAnsi="仿宋_GB2312" w:cs="仿宋_GB2312" w:eastAsia="仿宋_GB2312"/>
        </w:rPr>
        <w:t>联系电话：029-89525802（转8001）</w:t>
      </w:r>
    </w:p>
    <w:p>
      <w:pPr>
        <w:pStyle w:val="null3"/>
      </w:pPr>
      <w:r>
        <w:rPr>
          <w:rFonts w:ascii="仿宋_GB2312" w:hAnsi="仿宋_GB2312" w:cs="仿宋_GB2312" w:eastAsia="仿宋_GB2312"/>
        </w:rPr>
        <w:t>地址：西安市高新区锦业路38号粤汉国际C座14层（F层）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1,126,319.24</w:t>
      </w:r>
    </w:p>
    <w:p>
      <w:pPr>
        <w:pStyle w:val="null3"/>
      </w:pPr>
      <w:r>
        <w:rPr>
          <w:rFonts w:ascii="仿宋_GB2312" w:hAnsi="仿宋_GB2312" w:cs="仿宋_GB2312" w:eastAsia="仿宋_GB2312"/>
        </w:rPr>
        <w:t>采购包最高限价（元）: 1,126,319.24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通信线路迁改</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1,126,319.24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标的名称：通信线路迁改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b/>
              </w:rPr>
              <w:t>一、项目概况</w:t>
            </w:r>
          </w:p>
          <w:p>
            <w:pPr>
              <w:pStyle w:val="null3"/>
              <w:jc w:val="left"/>
            </w:pPr>
            <w:r>
              <w:rPr>
                <w:rFonts w:ascii="仿宋_GB2312" w:hAnsi="仿宋_GB2312" w:cs="仿宋_GB2312" w:eastAsia="仿宋_GB2312"/>
              </w:rPr>
              <w:t>本次通信光缆迁改范围为草堂五路至秦岭西七路西段，线路全长</w:t>
            </w:r>
            <w:r>
              <w:rPr>
                <w:rFonts w:ascii="仿宋_GB2312" w:hAnsi="仿宋_GB2312" w:cs="仿宋_GB2312" w:eastAsia="仿宋_GB2312"/>
              </w:rPr>
              <w:t>1.6公里，涉及移动、电信、联通、广电四家运营商的通信线路，包含主干长线光缆，其中重点涉及空管局专线、版本馆专线等重要通信专线。此类专线关乎重要机构的通信保障，需严格按照通信管理部门及专线使用单位的要求开展迁改工作。</w:t>
            </w:r>
          </w:p>
          <w:p>
            <w:pPr>
              <w:pStyle w:val="null3"/>
              <w:jc w:val="left"/>
            </w:pPr>
            <w:r>
              <w:rPr>
                <w:rFonts w:ascii="仿宋_GB2312" w:hAnsi="仿宋_GB2312" w:cs="仿宋_GB2312" w:eastAsia="仿宋_GB2312"/>
                <w:b/>
              </w:rPr>
              <w:t>二、工程内容和施工地点、计划工期、缺陷责任期、质量保修期</w:t>
            </w:r>
          </w:p>
          <w:p>
            <w:pPr>
              <w:pStyle w:val="null3"/>
              <w:jc w:val="left"/>
            </w:pPr>
            <w:r>
              <w:rPr>
                <w:rFonts w:ascii="仿宋_GB2312" w:hAnsi="仿宋_GB2312" w:cs="仿宋_GB2312" w:eastAsia="仿宋_GB2312"/>
              </w:rPr>
              <w:t>（一）工程内容：将原有光缆线路迁移至项目用地范围外，严格遵循相关通信线路敷设规范，确保迁改后线路与周边设施的安全距离符合标准。</w:t>
            </w:r>
          </w:p>
          <w:p>
            <w:pPr>
              <w:pStyle w:val="null3"/>
              <w:jc w:val="left"/>
            </w:pPr>
            <w:r>
              <w:rPr>
                <w:rFonts w:ascii="仿宋_GB2312" w:hAnsi="仿宋_GB2312" w:cs="仿宋_GB2312" w:eastAsia="仿宋_GB2312"/>
              </w:rPr>
              <w:t>（二）工程地点：草堂五路至秦岭西七路西段。</w:t>
            </w:r>
          </w:p>
          <w:p>
            <w:pPr>
              <w:pStyle w:val="null3"/>
              <w:jc w:val="left"/>
            </w:pPr>
            <w:r>
              <w:rPr>
                <w:rFonts w:ascii="仿宋_GB2312" w:hAnsi="仿宋_GB2312" w:cs="仿宋_GB2312" w:eastAsia="仿宋_GB2312"/>
              </w:rPr>
              <w:t>（三）计划工期：自进场之日起</w:t>
            </w:r>
            <w:r>
              <w:rPr>
                <w:rFonts w:ascii="仿宋_GB2312" w:hAnsi="仿宋_GB2312" w:cs="仿宋_GB2312" w:eastAsia="仿宋_GB2312"/>
              </w:rPr>
              <w:t>30个日历日内完成。</w:t>
            </w:r>
          </w:p>
          <w:p>
            <w:pPr>
              <w:pStyle w:val="null3"/>
              <w:jc w:val="left"/>
            </w:pPr>
            <w:r>
              <w:rPr>
                <w:rFonts w:ascii="仿宋_GB2312" w:hAnsi="仿宋_GB2312" w:cs="仿宋_GB2312" w:eastAsia="仿宋_GB2312"/>
                <w:b/>
              </w:rPr>
              <w:t>三、执行的法律法规、技术规范</w:t>
            </w:r>
          </w:p>
          <w:p>
            <w:pPr>
              <w:pStyle w:val="null3"/>
              <w:jc w:val="left"/>
            </w:pPr>
            <w:r>
              <w:rPr>
                <w:rFonts w:ascii="仿宋_GB2312" w:hAnsi="仿宋_GB2312" w:cs="仿宋_GB2312" w:eastAsia="仿宋_GB2312"/>
              </w:rPr>
              <w:t>（一）执行的法律法规、技术规范包括但不限于以下规定、规范、标准：</w:t>
            </w:r>
          </w:p>
          <w:p>
            <w:pPr>
              <w:pStyle w:val="null3"/>
              <w:jc w:val="left"/>
            </w:pPr>
            <w:r>
              <w:rPr>
                <w:rFonts w:ascii="仿宋_GB2312" w:hAnsi="仿宋_GB2312" w:cs="仿宋_GB2312" w:eastAsia="仿宋_GB2312"/>
              </w:rPr>
              <w:t>1.《中华人民共和国民法典》</w:t>
            </w:r>
            <w:r>
              <w:br/>
            </w:r>
            <w:r>
              <w:rPr>
                <w:rFonts w:ascii="仿宋_GB2312" w:hAnsi="仿宋_GB2312" w:cs="仿宋_GB2312" w:eastAsia="仿宋_GB2312"/>
              </w:rPr>
              <w:t>2.《中华人民共和国电信条例》</w:t>
            </w:r>
            <w:r>
              <w:br/>
            </w:r>
            <w:r>
              <w:rPr>
                <w:rFonts w:ascii="仿宋_GB2312" w:hAnsi="仿宋_GB2312" w:cs="仿宋_GB2312" w:eastAsia="仿宋_GB2312"/>
              </w:rPr>
              <w:t>3.《电信网络运行监督管理办法》</w:t>
            </w:r>
            <w:r>
              <w:br/>
            </w:r>
            <w:r>
              <w:rPr>
                <w:rFonts w:ascii="仿宋_GB2312" w:hAnsi="仿宋_GB2312" w:cs="仿宋_GB2312" w:eastAsia="仿宋_GB2312"/>
              </w:rPr>
              <w:t>4.《建设工程安全生产管理条例》</w:t>
            </w:r>
            <w:r>
              <w:br/>
            </w:r>
            <w:r>
              <w:rPr>
                <w:rFonts w:ascii="仿宋_GB2312" w:hAnsi="仿宋_GB2312" w:cs="仿宋_GB2312" w:eastAsia="仿宋_GB2312"/>
              </w:rPr>
              <w:t>5.《城市道路管理条例》</w:t>
            </w:r>
            <w:r>
              <w:br/>
            </w:r>
            <w:r>
              <w:rPr>
                <w:rFonts w:ascii="仿宋_GB2312" w:hAnsi="仿宋_GB2312" w:cs="仿宋_GB2312" w:eastAsia="仿宋_GB2312"/>
              </w:rPr>
              <w:t>6. GB 51158-2015《通信线路工程设计规范》</w:t>
            </w:r>
            <w:r>
              <w:br/>
            </w:r>
            <w:r>
              <w:rPr>
                <w:rFonts w:ascii="仿宋_GB2312" w:hAnsi="仿宋_GB2312" w:cs="仿宋_GB2312" w:eastAsia="仿宋_GB2312"/>
              </w:rPr>
              <w:t>7. GB 50373-2019《通信管道与通道工程设计标准》</w:t>
            </w:r>
            <w:r>
              <w:br/>
            </w:r>
            <w:r>
              <w:rPr>
                <w:rFonts w:ascii="仿宋_GB2312" w:hAnsi="仿宋_GB2312" w:cs="仿宋_GB2312" w:eastAsia="仿宋_GB2312"/>
              </w:rPr>
              <w:t>8. GB 51171-2016《通信线路工程验收规范》</w:t>
            </w:r>
            <w:r>
              <w:br/>
            </w:r>
            <w:r>
              <w:rPr>
                <w:rFonts w:ascii="仿宋_GB2312" w:hAnsi="仿宋_GB2312" w:cs="仿宋_GB2312" w:eastAsia="仿宋_GB2312"/>
              </w:rPr>
              <w:t>9. GB/T 50374-2018《通信管道工程施工及验收标准》</w:t>
            </w:r>
            <w:r>
              <w:br/>
            </w:r>
            <w:r>
              <w:rPr>
                <w:rFonts w:ascii="仿宋_GB2312" w:hAnsi="仿宋_GB2312" w:cs="仿宋_GB2312" w:eastAsia="仿宋_GB2312"/>
              </w:rPr>
              <w:t>10. YD/T 5102-2024《通信线路工程技术规范》</w:t>
            </w:r>
            <w:r>
              <w:br/>
            </w:r>
            <w:r>
              <w:rPr>
                <w:rFonts w:ascii="仿宋_GB2312" w:hAnsi="仿宋_GB2312" w:cs="仿宋_GB2312" w:eastAsia="仿宋_GB2312"/>
              </w:rPr>
              <w:t>11. 国家及地方现行其他相关法律、法规、标准及文件。</w:t>
            </w:r>
          </w:p>
          <w:p>
            <w:pPr>
              <w:pStyle w:val="null3"/>
              <w:jc w:val="left"/>
            </w:pPr>
            <w:r>
              <w:rPr>
                <w:rFonts w:ascii="仿宋_GB2312" w:hAnsi="仿宋_GB2312" w:cs="仿宋_GB2312" w:eastAsia="仿宋_GB2312"/>
              </w:rPr>
              <w:t>（二）质量标准</w:t>
            </w:r>
          </w:p>
          <w:p>
            <w:pPr>
              <w:pStyle w:val="null3"/>
              <w:jc w:val="left"/>
            </w:pPr>
            <w:r>
              <w:rPr>
                <w:rFonts w:ascii="仿宋_GB2312" w:hAnsi="仿宋_GB2312" w:cs="仿宋_GB2312" w:eastAsia="仿宋_GB2312"/>
              </w:rPr>
              <w:t>1. 施工安全管理：建立安全生产责任制，施工人员持证上岗，现场设置安全警示标识、围挡防护设施，安排专职安全员全程监督施工过程，杜绝违规操作。</w:t>
            </w:r>
          </w:p>
          <w:p>
            <w:pPr>
              <w:pStyle w:val="null3"/>
              <w:jc w:val="left"/>
            </w:pPr>
            <w:r>
              <w:rPr>
                <w:rFonts w:ascii="仿宋_GB2312" w:hAnsi="仿宋_GB2312" w:cs="仿宋_GB2312" w:eastAsia="仿宋_GB2312"/>
              </w:rPr>
              <w:t>2. 通信安全保障：对重要专线迁改实施双路由备份方案（如需），熔接过程严格遵循通信行业标准，迁改完成后进行不少于24小时的通信稳定性测试，确保专线及公共通信网络无中断、无故障。</w:t>
            </w:r>
          </w:p>
          <w:p>
            <w:pPr>
              <w:pStyle w:val="null3"/>
              <w:jc w:val="left"/>
            </w:pPr>
            <w:r>
              <w:rPr>
                <w:rFonts w:ascii="仿宋_GB2312" w:hAnsi="仿宋_GB2312" w:cs="仿宋_GB2312" w:eastAsia="仿宋_GB2312"/>
              </w:rPr>
              <w:t>3. 应急处置预案：制定光缆迁改应急方案，配备应急熔接设备和备用光缆，若发生通信中断等突发情况，立即启动应急预案，在规定时间内完成故障排查与修复。</w:t>
            </w:r>
          </w:p>
          <w:p>
            <w:pPr>
              <w:pStyle w:val="null3"/>
              <w:jc w:val="left"/>
            </w:pPr>
            <w:r>
              <w:rPr>
                <w:rFonts w:ascii="仿宋_GB2312" w:hAnsi="仿宋_GB2312" w:cs="仿宋_GB2312" w:eastAsia="仿宋_GB2312"/>
              </w:rPr>
              <w:t>质量要求：合格。</w:t>
            </w:r>
          </w:p>
          <w:p>
            <w:pPr>
              <w:pStyle w:val="null3"/>
              <w:jc w:val="left"/>
            </w:pPr>
            <w:r>
              <w:rPr>
                <w:rFonts w:ascii="仿宋_GB2312" w:hAnsi="仿宋_GB2312" w:cs="仿宋_GB2312" w:eastAsia="仿宋_GB2312"/>
                <w:b/>
              </w:rPr>
              <w:t>四</w:t>
            </w:r>
            <w:r>
              <w:rPr>
                <w:rFonts w:ascii="仿宋_GB2312" w:hAnsi="仿宋_GB2312" w:cs="仿宋_GB2312" w:eastAsia="仿宋_GB2312"/>
                <w:b/>
              </w:rPr>
              <w:t>、工程实施期限</w:t>
            </w:r>
          </w:p>
          <w:p>
            <w:pPr>
              <w:pStyle w:val="null3"/>
              <w:jc w:val="left"/>
            </w:pPr>
            <w:r>
              <w:rPr>
                <w:rFonts w:ascii="仿宋_GB2312" w:hAnsi="仿宋_GB2312" w:cs="仿宋_GB2312" w:eastAsia="仿宋_GB2312"/>
              </w:rPr>
              <w:t>1、中标人须在</w:t>
            </w:r>
            <w:r>
              <w:rPr>
                <w:rFonts w:ascii="仿宋_GB2312" w:hAnsi="仿宋_GB2312" w:cs="仿宋_GB2312" w:eastAsia="仿宋_GB2312"/>
              </w:rPr>
              <w:t>施工</w:t>
            </w:r>
            <w:r>
              <w:rPr>
                <w:rFonts w:ascii="仿宋_GB2312" w:hAnsi="仿宋_GB2312" w:cs="仿宋_GB2312" w:eastAsia="仿宋_GB2312"/>
              </w:rPr>
              <w:t>之日</w:t>
            </w:r>
            <w:r>
              <w:rPr>
                <w:rFonts w:ascii="仿宋_GB2312" w:hAnsi="仿宋_GB2312" w:cs="仿宋_GB2312" w:eastAsia="仿宋_GB2312"/>
              </w:rPr>
              <w:t>前</w:t>
            </w:r>
            <w:r>
              <w:rPr>
                <w:rFonts w:ascii="仿宋_GB2312" w:hAnsi="仿宋_GB2312" w:cs="仿宋_GB2312" w:eastAsia="仿宋_GB2312"/>
              </w:rPr>
              <w:t>进驻并制作工程计划进度表，并经采购人书面同意；</w:t>
            </w:r>
          </w:p>
          <w:p>
            <w:pPr>
              <w:pStyle w:val="null3"/>
              <w:jc w:val="left"/>
            </w:pPr>
            <w:r>
              <w:rPr>
                <w:rFonts w:ascii="仿宋_GB2312" w:hAnsi="仿宋_GB2312" w:cs="仿宋_GB2312" w:eastAsia="仿宋_GB2312"/>
              </w:rPr>
              <w:t>2</w:t>
            </w:r>
            <w:r>
              <w:rPr>
                <w:rFonts w:ascii="仿宋_GB2312" w:hAnsi="仿宋_GB2312" w:cs="仿宋_GB2312" w:eastAsia="仿宋_GB2312"/>
              </w:rPr>
              <w:t>、双方约定自施工之日起在</w:t>
            </w:r>
            <w:r>
              <w:rPr>
                <w:rFonts w:ascii="仿宋_GB2312" w:hAnsi="仿宋_GB2312" w:cs="仿宋_GB2312" w:eastAsia="仿宋_GB2312"/>
              </w:rPr>
              <w:t>30</w:t>
            </w:r>
            <w:r>
              <w:rPr>
                <w:rFonts w:ascii="仿宋_GB2312" w:hAnsi="仿宋_GB2312" w:cs="仿宋_GB2312" w:eastAsia="仿宋_GB2312"/>
              </w:rPr>
              <w:t>天完成约定的项目。遇阴雨天及不可抗力因素以及</w:t>
            </w:r>
            <w:r>
              <w:rPr>
                <w:rFonts w:ascii="仿宋_GB2312" w:hAnsi="仿宋_GB2312" w:cs="仿宋_GB2312" w:eastAsia="仿宋_GB2312"/>
              </w:rPr>
              <w:t>其他</w:t>
            </w:r>
            <w:r>
              <w:rPr>
                <w:rFonts w:ascii="仿宋_GB2312" w:hAnsi="仿宋_GB2312" w:cs="仿宋_GB2312" w:eastAsia="仿宋_GB2312"/>
              </w:rPr>
              <w:t>施工因素影响、工期相应顺延（顺延工期应由采购人、中标人共同签字确认）；</w:t>
            </w:r>
          </w:p>
          <w:p>
            <w:pPr>
              <w:pStyle w:val="null3"/>
              <w:jc w:val="left"/>
            </w:pPr>
            <w:r>
              <w:rPr>
                <w:rFonts w:ascii="仿宋_GB2312" w:hAnsi="仿宋_GB2312" w:cs="仿宋_GB2312" w:eastAsia="仿宋_GB2312"/>
              </w:rPr>
              <w:t>3、</w:t>
            </w:r>
            <w:r>
              <w:rPr>
                <w:rFonts w:ascii="仿宋_GB2312" w:hAnsi="仿宋_GB2312" w:cs="仿宋_GB2312" w:eastAsia="仿宋_GB2312"/>
              </w:rPr>
              <w:t>由于中标人原因造成工期延迟视同中标人违约，则中标人赔付采购人违约金</w:t>
            </w:r>
            <w:r>
              <w:rPr>
                <w:rFonts w:ascii="仿宋_GB2312" w:hAnsi="仿宋_GB2312" w:cs="仿宋_GB2312" w:eastAsia="仿宋_GB2312"/>
              </w:rPr>
              <w:t>至</w:t>
            </w:r>
            <w:r>
              <w:rPr>
                <w:rFonts w:ascii="仿宋_GB2312" w:hAnsi="仿宋_GB2312" w:cs="仿宋_GB2312" w:eastAsia="仿宋_GB2312"/>
              </w:rPr>
              <w:t>清运价的</w:t>
            </w:r>
            <w:r>
              <w:rPr>
                <w:rFonts w:ascii="仿宋_GB2312" w:hAnsi="仿宋_GB2312" w:cs="仿宋_GB2312" w:eastAsia="仿宋_GB2312"/>
              </w:rPr>
              <w:t>5‰／天。</w:t>
            </w:r>
          </w:p>
          <w:p>
            <w:pPr>
              <w:pStyle w:val="null3"/>
            </w:pPr>
            <w:r>
              <w:rPr>
                <w:rFonts w:ascii="仿宋_GB2312" w:hAnsi="仿宋_GB2312" w:cs="仿宋_GB2312" w:eastAsia="仿宋_GB2312"/>
                <w:b/>
              </w:rPr>
              <w:t>五、合同价款支付方式：</w:t>
            </w:r>
            <w:r>
              <w:rPr>
                <w:rFonts w:ascii="仿宋_GB2312" w:hAnsi="仿宋_GB2312" w:cs="仿宋_GB2312" w:eastAsia="仿宋_GB2312"/>
              </w:rPr>
              <w:t>本项目完工验收合格后，达到付款条件起</w:t>
            </w:r>
            <w:r>
              <w:rPr>
                <w:rFonts w:ascii="仿宋_GB2312" w:hAnsi="仿宋_GB2312" w:cs="仿宋_GB2312" w:eastAsia="仿宋_GB2312"/>
              </w:rPr>
              <w:t>10 日内，支付合同价款的70%；待财政部门结算评审后以结算评审金额付尾款，达到付款条件起10 日内，支付合同总金额的30%。</w:t>
            </w:r>
          </w:p>
          <w:p>
            <w:pPr>
              <w:pStyle w:val="null3"/>
              <w:jc w:val="left"/>
            </w:pPr>
            <w:r>
              <w:rPr>
                <w:rFonts w:ascii="仿宋_GB2312" w:hAnsi="仿宋_GB2312" w:cs="仿宋_GB2312" w:eastAsia="仿宋_GB2312"/>
                <w:b/>
              </w:rPr>
              <w:t>六、工程量清单</w:t>
            </w:r>
          </w:p>
          <w:tbl>
            <w:tblPr>
              <w:tblInd w:type="dxa" w:w="120"/>
              <w:tblBorders>
                <w:top w:val="none" w:color="000000" w:sz="4"/>
                <w:left w:val="none" w:color="000000" w:sz="4"/>
                <w:bottom w:val="none" w:color="000000" w:sz="4"/>
                <w:right w:val="none" w:color="000000" w:sz="4"/>
                <w:insideH w:val="none"/>
                <w:insideV w:val="none"/>
              </w:tblBorders>
            </w:tblPr>
            <w:tblGrid>
              <w:gridCol w:w="145"/>
              <w:gridCol w:w="581"/>
              <w:gridCol w:w="964"/>
              <w:gridCol w:w="863"/>
            </w:tblGrid>
            <w:tr>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序号</w:t>
                  </w:r>
                </w:p>
              </w:tc>
              <w:tc>
                <w:tcPr>
                  <w:tcW w:type="dxa" w:w="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项目名称</w:t>
                  </w:r>
                </w:p>
              </w:tc>
              <w:tc>
                <w:tcPr>
                  <w:tcW w:type="dxa" w:w="9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清单内容</w:t>
                  </w:r>
                </w:p>
              </w:tc>
              <w:tc>
                <w:tcPr>
                  <w:tcW w:type="dxa" w:w="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最高限价（元）</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1</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光缆</w:t>
                  </w: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型号：</w:t>
                  </w:r>
                  <w:r>
                    <w:rPr>
                      <w:rFonts w:ascii="仿宋_GB2312" w:hAnsi="仿宋_GB2312" w:cs="仿宋_GB2312" w:eastAsia="仿宋_GB2312"/>
                      <w:sz w:val="20"/>
                    </w:rPr>
                    <w:t>GYST-24B1</w:t>
                  </w:r>
                  <w:r>
                    <w:rPr>
                      <w:rFonts w:ascii="仿宋_GB2312" w:hAnsi="仿宋_GB2312" w:cs="仿宋_GB2312" w:eastAsia="仿宋_GB2312"/>
                      <w:sz w:val="20"/>
                    </w:rPr>
                    <w:t>，</w:t>
                  </w:r>
                  <w:r>
                    <w:rPr>
                      <w:rFonts w:ascii="仿宋_GB2312" w:hAnsi="仿宋_GB2312" w:cs="仿宋_GB2312" w:eastAsia="仿宋_GB2312"/>
                      <w:sz w:val="20"/>
                    </w:rPr>
                    <w:t>19200米；型号:GYST-48B1，30400米；型号：GYST-96B1，17600米；型号GYST-144B1：1600米。</w:t>
                  </w:r>
                </w:p>
              </w:tc>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759152.00</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2</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过线</w:t>
                  </w:r>
                  <w:r>
                    <w:rPr>
                      <w:rFonts w:ascii="仿宋_GB2312" w:hAnsi="仿宋_GB2312" w:cs="仿宋_GB2312" w:eastAsia="仿宋_GB2312"/>
                      <w:sz w:val="20"/>
                    </w:rPr>
                    <w:t>(路) 、终端盒、</w:t>
                  </w:r>
                  <w:r>
                    <w:rPr>
                      <w:rFonts w:ascii="仿宋_GB2312" w:hAnsi="仿宋_GB2312" w:cs="仿宋_GB2312" w:eastAsia="仿宋_GB2312"/>
                      <w:sz w:val="20"/>
                    </w:rPr>
                    <w:t>信息</w:t>
                  </w:r>
                  <w:r>
                    <w:rPr>
                      <w:rFonts w:ascii="仿宋_GB2312" w:hAnsi="仿宋_GB2312" w:cs="仿宋_GB2312" w:eastAsia="仿宋_GB2312"/>
                      <w:sz w:val="20"/>
                    </w:rPr>
                    <w:t>插座</w:t>
                  </w: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光缆接头盒，</w:t>
                  </w:r>
                  <w:r>
                    <w:rPr>
                      <w:rFonts w:ascii="仿宋_GB2312" w:hAnsi="仿宋_GB2312" w:cs="仿宋_GB2312" w:eastAsia="仿宋_GB2312"/>
                      <w:sz w:val="20"/>
                    </w:rPr>
                    <w:t>24芯，24个；光缆接头盒，48芯，38个；光缆接头盒，96芯，22个；光缆接头盒，144芯，2个。</w:t>
                  </w:r>
                </w:p>
              </w:tc>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8098.16</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3</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光缆接续</w:t>
                  </w: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0"/>
                    </w:rPr>
                    <w:t>光缆接续，</w:t>
                  </w:r>
                  <w:r>
                    <w:rPr>
                      <w:rFonts w:ascii="仿宋_GB2312" w:hAnsi="仿宋_GB2312" w:cs="仿宋_GB2312" w:eastAsia="仿宋_GB2312"/>
                      <w:sz w:val="20"/>
                    </w:rPr>
                    <w:t>24芯，24个；光缆接续，48芯，38个；光缆接续，96芯，22个；光缆接续，144芯，2个。</w:t>
                  </w:r>
                </w:p>
              </w:tc>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137103.2</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4</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用户光缆测试</w:t>
                  </w: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0"/>
                    </w:rPr>
                    <w:t>光缆测试，</w:t>
                  </w:r>
                  <w:r>
                    <w:rPr>
                      <w:rFonts w:ascii="仿宋_GB2312" w:hAnsi="仿宋_GB2312" w:cs="仿宋_GB2312" w:eastAsia="仿宋_GB2312"/>
                      <w:sz w:val="20"/>
                    </w:rPr>
                    <w:t>24芯，12个；光缆接续，48芯，19个；光缆接续，96芯，11个；光缆接续，144芯，1个。</w:t>
                  </w:r>
                </w:p>
              </w:tc>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38110.19</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5</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立水泥杆、架设吊线、安装拉线</w:t>
                  </w: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新立水泥杆</w:t>
                  </w:r>
                  <w:r>
                    <w:rPr>
                      <w:rFonts w:ascii="仿宋_GB2312" w:hAnsi="仿宋_GB2312" w:cs="仿宋_GB2312" w:eastAsia="仿宋_GB2312"/>
                      <w:sz w:val="20"/>
                    </w:rPr>
                    <w:t>8米32根，架设吊线3200米，安装拉线3条</w:t>
                  </w:r>
                </w:p>
              </w:tc>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36521.71</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6</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其他</w:t>
                  </w: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通用措施，增值税</w:t>
                  </w:r>
                </w:p>
              </w:tc>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147333.98</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1126319.24</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1、工期：自进场之日起30个日历日内完成。 2、质量要求：合格 。 3、供应商报价时各分项价格不得超过磋商文件中“工程量清单”的最高限价，否则按无效标处理。4、安全责任:成交供应商应对其工作人员在现场工作期间的一切行为负责，如安全事故责任及因此发生的人身损害赔偿和其它费用由成交供应商承担。 5、异常低价处理 5.1政府采购评审中出现下列情形之一的，磋商小组应当启动异常低价投标（响应）审查程序：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（4）磋商小组基于专业判断，认为供应商报价过低，有可能影响产品质量或者不能诚信履约的其他情形。 相关法律法规对供应商报价有规定的，从其规定。 5.2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提供《基本资格条件承诺函》，供应商应对承诺内容的真实性、合法性、有效性负责。经调查核实为虚假承诺的，视同为“提供虚假材料谋取中标、成交”的违法行为，依照《中华人民共和国政府采购法》等法律法规追究相应责任。不提供《基本资格条件承诺函》的供应商需提交如下资格证明文件： 提供具有经审计资质单位出具的2024年度或2025年度的财务审计报告，成立时间至提交投标文件截止时间不足一年的可提供成立后任意时段的资产负债表；或其开标前六个月内基本存款账户开户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基本资格条件承诺函.docx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提供营业执照/事业单位法人证书/专业服务机构执业许可证/民办非企业单位登记证书/自然人身份证明等。</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提供《基本资格条件承诺函》，供应商应对承诺内容的真实性、合法性、有效性负责。经调查核实为虚假承诺的，视同为“提供虚假材料谋取中标、成交”的违法行为，依照《中华人民共和国政府采购法》等法律法规追究相应责任。 不提供《基本资格条件承诺函》的供应商需提交如下资格证明文件： ①财务状况报告：提供具有经审计资质单位出具的2024年度或2025年度的财务审计报告，成立时间至提交投标文件截止时间不足一年的可提供成立后任意时段的资产负债表；或其开标前六个月内基本存款账户开户银行出具的资信证明；或信用担保机构出具的投标担保函。（以上三种形式的资料提供任何一种即可）； ②提供具有履行合同所必需的设备和专业技术能力的承诺； ③提供开标时间前6个月内任意时段的纳税证明或完税证明（以所属时间为准），纳税证明或完税证明上应有代收机构或税务机关的公章或业务专用章。依法免税的供应商应提供相关文件证明； ④提供开标时间前6个月内任意时段的社会保障资金缴存单据或社保机构开具的社会保险参保缴费情况证明（以所属时间为准），依法不需要缴纳社会保障资金的单位应提供相关证明材料； ⑤参加政府采购活动前3年内，在经营活动中没有重大违法记录的书面声明（格式自拟）。</w:t>
            </w:r>
          </w:p>
        </w:tc>
        <w:tc>
          <w:tcPr>
            <w:tcW w:type="dxa" w:w="1661"/>
          </w:tcPr>
          <w:p>
            <w:pPr>
              <w:pStyle w:val="null3"/>
            </w:pPr>
            <w:r>
              <w:rPr>
                <w:rFonts w:ascii="仿宋_GB2312" w:hAnsi="仿宋_GB2312" w:cs="仿宋_GB2312" w:eastAsia="仿宋_GB2312"/>
              </w:rPr>
              <w:t>基本资格条件承诺函.docx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磋商的，须提供本人身份证复印件（附在响应文件中）；法定代表人授权他人参加磋商的，须提供法定代表人授权委托书，同时需提供被授权人递交响应文件截止之日前3个月的社会保险缴纳证明（入职未满3个月，按实际入职时间提供社会保险缴纳证明；若入职时间短未缴纳社会保险，需提供劳动合同）。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供应商及拟派项目负责人资质和专业要求</w:t>
            </w:r>
          </w:p>
        </w:tc>
        <w:tc>
          <w:tcPr>
            <w:tcW w:type="dxa" w:w="3322"/>
          </w:tcPr>
          <w:p>
            <w:pPr>
              <w:pStyle w:val="null3"/>
            </w:pPr>
            <w:r>
              <w:rPr>
                <w:rFonts w:ascii="仿宋_GB2312" w:hAnsi="仿宋_GB2312" w:cs="仿宋_GB2312" w:eastAsia="仿宋_GB2312"/>
              </w:rPr>
              <w:t>1.供应商须具备建设行政主管部门颁发的通信工程施工总承包三级以上(含三级)资质，且具备有效的安全生产许可证； 2.拟派项目负责人须具备通信与广电工程专业一级注册建造师资格证书和安全生产考核合格证（B证），在本单位注册，且无在建工程； 3.企业及项目经理基本信息在“陕西省住房和城乡建设厅（https://js.shaanxi.gov.cn/）陕西省建筑市场监管与诚信信息发布平台”可查询。</w:t>
            </w:r>
          </w:p>
        </w:tc>
        <w:tc>
          <w:tcPr>
            <w:tcW w:type="dxa" w:w="1661"/>
          </w:tcPr>
          <w:p>
            <w:pPr>
              <w:pStyle w:val="null3"/>
            </w:pPr>
            <w:r>
              <w:rPr>
                <w:rFonts w:ascii="仿宋_GB2312" w:hAnsi="仿宋_GB2312" w:cs="仿宋_GB2312" w:eastAsia="仿宋_GB2312"/>
              </w:rPr>
              <w:t>供应商应提交的相关资格证明材料 主要人员简历表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响应文件的签署、盖章满足采购文件要求</w:t>
            </w:r>
          </w:p>
        </w:tc>
        <w:tc>
          <w:tcPr>
            <w:tcW w:type="dxa" w:w="1661"/>
          </w:tcPr>
          <w:p>
            <w:pPr>
              <w:pStyle w:val="null3"/>
            </w:pPr>
            <w:r>
              <w:rPr>
                <w:rFonts w:ascii="仿宋_GB2312" w:hAnsi="仿宋_GB2312" w:cs="仿宋_GB2312" w:eastAsia="仿宋_GB2312"/>
              </w:rPr>
              <w:t>基本资格条件承诺函.docx 中小企业声明函 技术服务合同条款及其他商务要求应答表 供应商应提交的相关资格证明材料 强制优先采购产品承诺函 法定代表人授权书.docx 响应文件封面 分项报价表.docx 项目管理机构组成表 残疾人福利性单位声明函 报价函 标的清单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响应报价未超过采购预算或最高限价</w:t>
            </w:r>
          </w:p>
        </w:tc>
        <w:tc>
          <w:tcPr>
            <w:tcW w:type="dxa" w:w="1661"/>
          </w:tcPr>
          <w:p>
            <w:pPr>
              <w:pStyle w:val="null3"/>
            </w:pPr>
            <w:r>
              <w:rPr>
                <w:rFonts w:ascii="仿宋_GB2312" w:hAnsi="仿宋_GB2312" w:cs="仿宋_GB2312" w:eastAsia="仿宋_GB2312"/>
              </w:rPr>
              <w:t>已标价工程量清单 分项报价表.docx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法律、法规和磋商文件规定的其他无效情形</w:t>
            </w:r>
          </w:p>
        </w:tc>
        <w:tc>
          <w:tcPr>
            <w:tcW w:type="dxa" w:w="3322"/>
          </w:tcPr>
          <w:p>
            <w:pPr>
              <w:pStyle w:val="null3"/>
            </w:pPr>
            <w:r>
              <w:rPr>
                <w:rFonts w:ascii="仿宋_GB2312" w:hAnsi="仿宋_GB2312" w:cs="仿宋_GB2312" w:eastAsia="仿宋_GB2312"/>
              </w:rPr>
              <w:t>不存在法律、法规和磋商文件规定的其他无效情形</w:t>
            </w:r>
          </w:p>
        </w:tc>
        <w:tc>
          <w:tcPr>
            <w:tcW w:type="dxa" w:w="1661"/>
          </w:tcPr>
          <w:p>
            <w:pPr>
              <w:pStyle w:val="null3"/>
            </w:pPr>
            <w:r>
              <w:rPr>
                <w:rFonts w:ascii="仿宋_GB2312" w:hAnsi="仿宋_GB2312" w:cs="仿宋_GB2312" w:eastAsia="仿宋_GB2312"/>
              </w:rPr>
              <w:t>已标价工程量清单 基本资格条件承诺函.docx 中小企业声明函 技术服务合同条款及其他商务要求应答表 供应商应提交的相关资格证明材料 强制优先采购产品承诺函 法定代表人授权书.docx 响应文件封面 分项报价表.docx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 ①施工目标:成本目标、工期目标、质量目标②施工准备：技术准备、材料准备、机械设备③施工平面布置与安排。 二、评审标准 1、完整性：方案必须全面，对评审内容中的各项要求有详细描述； 2、可实施性：切合本项目实际情况，提出步骤清晰、合理的方案； 3、针对性：方案能够紧扣项目实际情况，内容科学合理。 三、赋分标准（满分9分）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供应商针对本项目编制完善的施工方案，内容包含：①施工方法②重难点及解决措施。 二、评审标准 1、完整性：方案必须全面，对评审内容中的各项要求有详细描述； 2、可实施性：切合本项目实际情况，提出步骤清晰、合理的方案； 3、针对性：方案能够紧扣项目实际情况，内容科学合理。 三、赋分标准（满分6分） ①施工方法：每完全满足一个评审标准得1分，满分3分； ③重难点及解决措施：每完全满足一个评审标准得1分，满分3分。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供应商针对本项目编制完善的施工进度计划，内容包含：①施工进度计划横道图②工期保证措施。 二、评审标准 1、完整性：方案必须全面，对评审内容中的各项要求有详细描述； 2、可实施性：切合本项目实际情况，提出步骤清晰、合理的方案； 3、针对性：方案能够紧扣项目实际情况，内容科学合理。 三、赋分标准（满分6分） ①施工进度计划横道图：每完全满足一个评审标准得1分，满分3分； ②工期保证措施：每完全满足一个评审标准得1分，满分3分；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供应商针对本项目编制完善的质量保证措施，内容包含：①施工质量控制措施②施工质量的检验制度。 二、评审标准 1、完整性：方案必须全面，对评审内容中的各项要求有详细描述； 2、可实施性：切合本项目实际情况，提出步骤清晰、合理的方案； 3、针对性：方案能够紧扣项目实际情况，内容科学合理。 三、赋分标准（满分6分） ①施工质量控制措施：每完全满足一个评审标准得1分，满分3分； ③施工质量的检验制度：每完全满足一个评审标准得1分，满分3分。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供应商针对本项目编制完善的资源配置计划，内容包含；①劳动力资源配置计划；②施工机械投入计划。 二、评审标准 1、完整性：方案必须全面，对评审内容中的各项要求有详细描述； 2、可实施性：切合本项目实际情况，提出步骤清晰、合理的方案； 3、针对性：方案能够紧扣项目实际情况，内容科学合理。 三、赋分标准（满分6分） ①劳动力资源配置计划：每完全满足一个评审标准得1分，满分3分； ②施工机械设备投入计划：每完全满足一个评审标准得1分，满分3分。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供应商针对本项目编制完善的安全施工措施，内容包含：①安全生产管理制度②安全施工措施③安全应急预案④安全生产教育。 二、评审标准 1、完整性：方案必须全面，对评审内容中的各项要求有详细描述； 2、可实施性：切合本项目实际情况，提出步骤清晰、合理的方案； 3、针对性：方案能够紧扣项目实际情况，内容科学合理。 三、赋分标准（满分12分） ①安全生产管理制度：每完全满足一个评审标准得1分，满分3分； ②安全施工措施：每完全满足一个评审标准得1分，满分3分； ③安全应急预案：每完全满足一个评审标准得1分，满分3分。 ④安全生产教育：每完全满足一个评审标准得1分，满分3分。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供应商针对本项目编制完善的文明施工措施，内容包含：①文明施工管理目标及技术措施②文明施工现场管理③环境保护措施。 二、评审标准 1、完整性：方案必须全面，对评审内容中的各项要求有详细描述； 2、可实施性：切合本项目实际情况，提出步骤清晰、合理的方案； 3、针对性：方案能够紧扣项目实际情况，内容科学合理。 三、赋分标准（满分9分） ①文明施工管理目标及技术措施：每完全满足一个评审标准得1分，满分3分； ②文明施工现场管理：每完全满足一个评审标准得1分，满分3分； ③环境保护措施：每完全满足一个评审标准得1分，满分3分。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供应商针对本项目组建完善的项目管理机构，内容包含：①管理机构的配备计划②管理机构的岗位职责。 二、评审标准 1、完整性：方案必须全面，对评审内容中的各项要求有详细描述； 2、可实施性：切合本项目实际情况，提出步骤清晰、合理的方案； 3、针对性：方案能够紧扣项目实际情况，内容科学合理。 三、赋分标准（满分12分） ①管理机构的配备计划：每完全满足一个评审标准得1分，满分3分； ②管理机构的岗位职责：每完全满足一个评审标准得1分，满分3分。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提供2023年1月1日至今（以签订合同时间为准）类似业绩，每提供1份有效业绩得2分，本项最高得10分； 注：以上业绩须附合同复印件加盖公章。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价格分统一采用低价优先法计算，即满足磋商文件要求且最低的响应报价为基准价，其价格分为满分。其他供应商的价格分统一按照下列公式计算：响应报价得分=(基准价／响应报价)×价格权值×100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详见附件：法定代表人授权书.docx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详见附件：工程施工合同模板.docx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