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铜川市中心城区国土空间详细规划（单元+重点地块）编制项目</w:t>
      </w:r>
    </w:p>
    <w:p>
      <w:pPr>
        <w:pStyle w:val="null3"/>
        <w:jc w:val="center"/>
        <w:outlineLvl w:val="2"/>
      </w:pPr>
      <w:r>
        <w:rPr>
          <w:b/>
          <w:sz w:val="28"/>
        </w:rPr>
        <w:t>采购项目编号：</w:t>
      </w:r>
      <w:r>
        <w:rPr>
          <w:b/>
          <w:sz w:val="28"/>
        </w:rPr>
        <w:t>HXZBTC2023-018</w:t>
      </w:r>
      <w:r>
        <w:br/>
      </w:r>
      <w:r>
        <w:br/>
      </w:r>
      <w:r>
        <w:br/>
      </w:r>
    </w:p>
    <w:p>
      <w:pPr>
        <w:pStyle w:val="null3"/>
        <w:jc w:val="center"/>
        <w:outlineLvl w:val="2"/>
      </w:pPr>
      <w:r>
        <w:rPr>
          <w:b/>
          <w:sz w:val="28"/>
        </w:rPr>
        <w:t>铜川市自然资源局</w:t>
      </w:r>
    </w:p>
    <w:p>
      <w:pPr>
        <w:pStyle w:val="null3"/>
        <w:jc w:val="center"/>
        <w:outlineLvl w:val="2"/>
      </w:pPr>
      <w:r>
        <w:rPr>
          <w:b/>
          <w:sz w:val="28"/>
        </w:rPr>
        <w:t>陕西汇兴项目管理有限公司</w:t>
      </w:r>
      <w:r>
        <w:rPr>
          <w:b/>
          <w:sz w:val="28"/>
        </w:rPr>
        <w:t>共同编制</w:t>
      </w:r>
    </w:p>
    <w:p>
      <w:pPr>
        <w:pStyle w:val="null3"/>
        <w:jc w:val="center"/>
        <w:outlineLvl w:val="2"/>
      </w:pPr>
      <w:r>
        <w:rPr>
          <w:b/>
          <w:sz w:val="28"/>
        </w:rPr>
        <w:t>2023年12月28日</w:t>
      </w:r>
    </w:p>
    <w:p>
      <w:pPr>
        <w:pStyle w:val="null3"/>
      </w:pPr>
      <w:r>
        <w:rPr/>
        <w:t xml:space="preserve"> </w:t>
      </w:r>
    </w:p>
    <w:p>
      <w:pPr>
        <w:pStyle w:val="null3"/>
        <w:jc w:val="center"/>
        <w:outlineLvl w:val="1"/>
      </w:pPr>
      <w:r>
        <w:rPr>
          <w:b/>
          <w:sz w:val="36"/>
        </w:rPr>
        <w:t>第一章 投标邀请</w:t>
      </w:r>
    </w:p>
    <w:p>
      <w:pPr>
        <w:pStyle w:val="null3"/>
        <w:ind w:firstLine="480"/>
      </w:pPr>
      <w:r>
        <w:rPr/>
        <w:t>陕西汇兴项目管理有限公司</w:t>
      </w:r>
      <w:r>
        <w:rPr/>
        <w:t>（以下简称“代理机构”）受</w:t>
      </w:r>
      <w:r>
        <w:rPr/>
        <w:t>铜川市自然资源局</w:t>
      </w:r>
      <w:r>
        <w:rPr/>
        <w:t>委托，拟对</w:t>
      </w:r>
      <w:r>
        <w:rPr/>
        <w:t>铜川市中心城区国土空间详细规划（单元+重点地块）编制项目</w:t>
      </w:r>
      <w:r>
        <w:rPr/>
        <w:t>进行国内公开招标，兹邀请符合本次招标要求的供应商参加投标。</w:t>
      </w:r>
    </w:p>
    <w:p>
      <w:pPr>
        <w:pStyle w:val="null3"/>
        <w:outlineLvl w:val="2"/>
      </w:pPr>
      <w:r>
        <w:rPr>
          <w:b/>
          <w:sz w:val="28"/>
        </w:rPr>
        <w:t>一、采购项目编号：</w:t>
      </w:r>
      <w:r>
        <w:rPr>
          <w:b/>
          <w:sz w:val="28"/>
        </w:rPr>
        <w:t>HXZBTC2023-018</w:t>
      </w:r>
    </w:p>
    <w:p>
      <w:pPr>
        <w:pStyle w:val="null3"/>
        <w:outlineLvl w:val="2"/>
      </w:pPr>
      <w:r>
        <w:rPr>
          <w:b/>
          <w:sz w:val="28"/>
        </w:rPr>
        <w:t>二、采购项目名称：</w:t>
      </w:r>
      <w:r>
        <w:rPr>
          <w:b/>
          <w:sz w:val="28"/>
        </w:rPr>
        <w:t>铜川市中心城区国土空间详细规划（单元+重点地块）编制项目</w:t>
      </w:r>
    </w:p>
    <w:p>
      <w:pPr>
        <w:pStyle w:val="null3"/>
        <w:outlineLvl w:val="2"/>
      </w:pPr>
      <w:r>
        <w:rPr>
          <w:b/>
          <w:sz w:val="28"/>
        </w:rPr>
        <w:t>三、招标项目简介</w:t>
      </w:r>
    </w:p>
    <w:p>
      <w:pPr>
        <w:pStyle w:val="null3"/>
        <w:ind w:firstLine="480"/>
      </w:pPr>
      <w:r>
        <w:rPr/>
        <w:t>铜川市中心城区国土空间详细规划（单元+重点地块）编制项目包括对现行国土空间详细规划实施评估、开展前期各专项研究并形成报告、国土空间详细规划编制技术规程拟定与细化、铜川市中心城区国土空间详细规划单元层级方案编制、铜川市中心城区（新耀城区）国土空间详细规划地块层级方案编制、国土空间详细规划数据库信息更新与动态维护及国土空间详细规划项目监理等内容。</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1、本项目特定资格要求：（1）、具有独立承担民事责任能力的法人、其他组织或自然人，并出具合法有效的营业执照或事业单位法人证书等国家规定的相关证明，自然人参与的提供其身份证明。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（2）、财务状况报告：提供具有财务审计资质单位出具的2022年度财务报告或投标前六个月内其基本账户银行出具的资信证明或政府采购信用担保机构出具的投标担保函。 （3）、税收交纳证明：提供截止至投标时间前六个月内任意一个月的缴费凭据；（依法免税的供应商应提供相关文件证明）。 （4）、社会保障资金交纳证明：提供截止至投标时间前六个月内任意一个月的社保缴费凭据或社保机构开具的社会保险参保缴费情况证明；（依法不需要交纳社会保障资金的供应商应提供相关证明）。 （5）、提供具有履行本合同所必需的设备和专业技术能力的承诺。 （6）、提供参加政府采购活动前三年内在经营活动中没有重大违法记录的书面声明。 （7）、具有行政主管部门颁发的城乡规划乙级及以上资质。 （8）、拟派项目负责人须具有国家注册城市规划师(或国家注册城乡规划师)执业资格。 （9）、供应商应授权合法的人员参加招标全过程，其中法定代表直接参加招标的，须出具身份证，并与营业执照上信息一致。授权代表参加招标的，须出具法定代表人授权委托书及授权代表身份证。 （10）、供应商不得为“信用中国(www.creditchina.gov.cn)”中列入失信被执行人名单的供应商，不得为“中国政府采购网(www.ccgp.gov.cn” 政府采购严重违法失信行为记录名单中被财政部门禁止参加政府采购活动的供应商。</w:t>
      </w:r>
    </w:p>
    <w:p>
      <w:pPr>
        <w:pStyle w:val="null3"/>
      </w:pPr>
      <w:r>
        <w:rPr/>
        <w:t>采购包2：</w:t>
      </w:r>
    </w:p>
    <w:p>
      <w:pPr>
        <w:pStyle w:val="null3"/>
      </w:pPr>
      <w:r>
        <w:rPr/>
        <w:t>1、本项目特定资格要求： （1）、具有独立承担民事责任能力的法人、其他组织或自然人，并出具合法有效的营业执照或事业单位法人证书等国家规定的相关证明，自然人参与的提供其身份证明。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（2）、财务状况报告：提供具有财务审计资质单位出具的2022年度财务报告或投标前六个月内其基本账户银行出具的资信证明或政府采购信用担保机构出具的投标担保函。 （3）、税收交纳证明：提供截止至投标时间前六个月内任意一个月的缴费凭据；（依法免税的供应商应提供相关文件证明）。 （4）、社会保障资金交纳证明：提供截止至投标时间前六个月内任意一个月的社保缴费凭据或社保机构开具的社会保险参保缴费情况证明（依法不需要交纳社会保障资金的供应商应提供相关证明）。 （5）、提供具有履行本合同所必需的设备和专业技术能力的承诺。 （6）、提供参加政府采购活动前三年内在经营活动中没有重大违法记录的书面声明。 （7）、具有行政主管部门颁发的城乡规划乙级及以上资质。 （8）、拟派项目负责人须具有国家注册城市规划师(或国家注册城乡规划师)执业资格。 （9）、供应商应授权合法的人员参加招标全过程，其中法定代表直接参加招标的，须出具身份证，并与营业执照上信息一致。授权代表参加招标的，须出具法定代表人授权委托书及授权代表身份证。 （10）、供应商不得为“信用中国(www.creditchina.gov.cn)”中列入失信被执行人名单的供应商，不得为“中国政府采购网(www.ccgp.gov.cn” 政府采购严重违法失信行为记录名单中被财政部门禁止参加政府采购活动的供应商。</w:t>
      </w:r>
    </w:p>
    <w:p>
      <w:pPr>
        <w:pStyle w:val="null3"/>
      </w:pPr>
      <w:r>
        <w:rPr/>
        <w:t>采购包3：</w:t>
      </w:r>
    </w:p>
    <w:p>
      <w:pPr>
        <w:pStyle w:val="null3"/>
      </w:pPr>
      <w:r>
        <w:rPr/>
        <w:t>1、本项目特定资格要求：（1）、具有独立承担民事责任能力的法人、其他组织或自然人，并出具合法有效的营业执照或事业单位法人证书等国家规定的相关证明，自然人参与的提供其身份证明。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（2）、财务状况报告：提供具有财务审计资质单位出具的2022年度财务报告或投标前六个月内其基本账户银行出具的资信证明或政府采购信用担保机构出具的投标担保函。 （3）、税收交纳证明：提供截止至投标时间前六个月内任意一个月的缴费凭据；（依法免税的供应商应提供相关文件证明）。 （4）、社会保障资金交纳证明：提供截止至投标时间前六个月内任意一个月的社保缴费凭据或社保机构开具的社会保险参保缴费情况证明；（依法不需要交纳社会保障资金的供应商应提供相关证明）。 （5）、提供具有履行本合同所必需的设备和专业技术能力的承诺。 （6）、提供参加政府采购活动前三年内在经营活动中没有重大违法记录的书面声明。 （7）、具有行政主管部门颁发的城乡规划乙级及以上资质。 （8）、拟派项目负责人须具有国家注册城市规划师(或国家注册城乡规划师)执业资格。 （9）、供应商应授权合法的人员参加招标全过程，其中法定代表直接参加招标的，须出具身份证，并与营业执照上信息一致。授权代表参加招标的，须出具法定代表人授权委托书及授权代表身份证。 （10）、供应商不得为“信用中国(www.creditchina.gov.cn)”中列入失信被执行人名单的供应商，不得为“中国政府采购网(www.ccgp.gov.cn” 政府采购严重违法失信行为记录名单中被财政部门禁止参加政府采购活动的供应商。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铜川市自然资源局</w:t>
      </w:r>
    </w:p>
    <w:p>
      <w:pPr>
        <w:pStyle w:val="null3"/>
      </w:pPr>
      <w:r>
        <w:rPr/>
        <w:t xml:space="preserve"> 地址： </w:t>
      </w:r>
      <w:r>
        <w:rPr/>
        <w:t>新区正阳路9号</w:t>
      </w:r>
    </w:p>
    <w:p>
      <w:pPr>
        <w:pStyle w:val="null3"/>
      </w:pPr>
      <w:r>
        <w:rPr/>
        <w:t xml:space="preserve"> 邮编： </w:t>
      </w:r>
      <w:r>
        <w:rPr/>
        <w:t>727031</w:t>
      </w:r>
    </w:p>
    <w:p>
      <w:pPr>
        <w:pStyle w:val="null3"/>
      </w:pPr>
      <w:r>
        <w:rPr/>
        <w:t xml:space="preserve"> 联系人： </w:t>
      </w:r>
      <w:r>
        <w:rPr/>
        <w:t>陈扬</w:t>
      </w:r>
    </w:p>
    <w:p>
      <w:pPr>
        <w:pStyle w:val="null3"/>
      </w:pPr>
      <w:r>
        <w:rPr/>
        <w:t xml:space="preserve"> 联系电话： </w:t>
      </w:r>
      <w:r>
        <w:rPr/>
        <w:t>0919-3185722</w:t>
      </w:r>
    </w:p>
    <w:p>
      <w:pPr>
        <w:pStyle w:val="null3"/>
        <w:outlineLvl w:val="2"/>
      </w:pPr>
      <w:r>
        <w:rPr>
          <w:b/>
          <w:sz w:val="28"/>
        </w:rPr>
        <w:t>代理机构：</w:t>
      </w:r>
      <w:r>
        <w:rPr>
          <w:b/>
          <w:sz w:val="28"/>
        </w:rPr>
        <w:t>陕西汇兴项目管理有限公司</w:t>
      </w:r>
    </w:p>
    <w:p>
      <w:pPr>
        <w:pStyle w:val="null3"/>
      </w:pPr>
      <w:r>
        <w:rPr/>
        <w:t xml:space="preserve"> 地址： </w:t>
      </w:r>
      <w:r>
        <w:rPr/>
        <w:t>陕西省西安市经济技术开发区凤城九路海博广场D座1902室</w:t>
      </w:r>
    </w:p>
    <w:p>
      <w:pPr>
        <w:pStyle w:val="null3"/>
      </w:pPr>
      <w:r>
        <w:rPr/>
        <w:t xml:space="preserve"> 邮编： </w:t>
      </w:r>
      <w:r>
        <w:rPr/>
        <w:t>710000</w:t>
      </w:r>
    </w:p>
    <w:p>
      <w:pPr>
        <w:pStyle w:val="null3"/>
      </w:pPr>
      <w:r>
        <w:rPr/>
        <w:t xml:space="preserve"> 联系人： </w:t>
      </w:r>
      <w:r>
        <w:rPr/>
        <w:t>姜伟</w:t>
      </w:r>
    </w:p>
    <w:p>
      <w:pPr>
        <w:pStyle w:val="null3"/>
      </w:pPr>
      <w:r>
        <w:rPr/>
        <w:t xml:space="preserve"> 联系电话： </w:t>
      </w:r>
      <w:r>
        <w:rPr/>
        <w:t>15209199909</w:t>
      </w:r>
    </w:p>
    <w:p>
      <w:pPr>
        <w:pStyle w:val="null3"/>
        <w:outlineLvl w:val="2"/>
      </w:pPr>
      <w:r>
        <w:rPr>
          <w:b/>
          <w:sz w:val="28"/>
        </w:rPr>
        <w:t>采购监督机构：</w:t>
      </w:r>
      <w:r>
        <w:rPr>
          <w:b/>
          <w:sz w:val="28"/>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采购包1：10,360,000.00元</w:t>
            </w:r>
          </w:p>
          <w:p>
            <w:pPr>
              <w:pStyle w:val="null3"/>
            </w:pPr>
            <w:r>
              <w:rPr/>
              <w:t>采购包2：3,976,000.00元</w:t>
            </w:r>
          </w:p>
          <w:p>
            <w:pPr>
              <w:pStyle w:val="null3"/>
            </w:pPr>
            <w:r>
              <w:rPr/>
              <w:t>采购包3：244,100.00元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铜川市自然资源局</w:t>
      </w:r>
      <w:r>
        <w:rPr/>
        <w:t>和</w:t>
      </w:r>
      <w:r>
        <w:rPr/>
        <w:t>陕西汇兴项目管理有限公司</w:t>
      </w:r>
      <w:r>
        <w:rPr/>
        <w:t>享有。对招标文件中供应商参加本次政府采购活动应当具备的条件，招标项目技术、服务、商务及其他要求，评标细则及标准由</w:t>
      </w:r>
      <w:r>
        <w:rPr/>
        <w:t>铜川市自然资源局</w:t>
      </w:r>
      <w:r>
        <w:rPr/>
        <w:t>负责解释。除上述招标文件内容，其他内容由</w:t>
      </w:r>
      <w:r>
        <w:rPr/>
        <w:t>陕西汇兴项目管理有限公司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铜川市自然资源局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以甲乙双方实际签订合同为准</w:t>
      </w:r>
    </w:p>
    <w:p>
      <w:pPr>
        <w:pStyle w:val="null3"/>
      </w:pPr>
      <w:r>
        <w:rPr/>
        <w:t>采购包2：</w:t>
      </w:r>
    </w:p>
    <w:p>
      <w:pPr>
        <w:pStyle w:val="null3"/>
      </w:pPr>
      <w:r>
        <w:rPr/>
        <w:t>以甲乙双方实际签订合同为准</w:t>
      </w:r>
    </w:p>
    <w:p>
      <w:pPr>
        <w:pStyle w:val="null3"/>
      </w:pPr>
      <w:r>
        <w:rPr/>
        <w:t>采购包3：</w:t>
      </w:r>
    </w:p>
    <w:p>
      <w:pPr>
        <w:pStyle w:val="null3"/>
      </w:pPr>
      <w:r>
        <w:rPr/>
        <w:t>以甲乙双方实际签订合同为准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陕西汇兴项目管理有限公司</w:t>
      </w:r>
      <w:r>
        <w:rPr/>
        <w:t xml:space="preserve"> 负责答复；供应商对除采购需求外的采购文件的询问、质疑由</w:t>
      </w:r>
      <w:r>
        <w:rPr/>
        <w:t>陕西汇兴项目管理有限公司</w:t>
      </w:r>
      <w:r>
        <w:rPr/>
        <w:t xml:space="preserve"> 负责答复；供应商对采购过程、采购结果的询问、质疑由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联系人：姜伟</w:t>
      </w:r>
    </w:p>
    <w:p>
      <w:pPr>
        <w:pStyle w:val="null3"/>
      </w:pPr>
      <w:r>
        <w:rPr/>
        <w:t>联系电话：15209199909</w:t>
      </w:r>
    </w:p>
    <w:p>
      <w:pPr>
        <w:pStyle w:val="null3"/>
      </w:pPr>
      <w:r>
        <w:rPr/>
        <w:t>地址：铜川市新区金谟西路44号家园二楼</w:t>
      </w:r>
    </w:p>
    <w:p>
      <w:pPr>
        <w:pStyle w:val="null3"/>
      </w:pPr>
      <w:r>
        <w:rPr/>
        <w:t>邮编：727031</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铜川市中心城区国土空间详细规划（单元+重点地块）编制项目包括对现行国土空间详细规划实施评估、开展前期各专项研究并形成报告、国土空间详细规划编制技术规程拟定与细化、铜川市中心城区国土空间详细规划单元层级方案编制、铜川市中心城区（新耀城区）国土空间详细规划地块层级方案编制、国土空间详细规划数据库信息更新与动态维护及国土空间详细规划项目监理等内容。</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10,360,000.00</w:t>
      </w:r>
    </w:p>
    <w:p>
      <w:pPr>
        <w:pStyle w:val="null3"/>
      </w:pPr>
      <w:r>
        <w:rPr/>
        <w:t>采购包最高限价（元）: 10,360,000.00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铜川市中心城区国土空间详细规划（单元+重点地块）编制项目（一标段）</w:t>
            </w:r>
          </w:p>
        </w:tc>
        <w:tc>
          <w:tcPr>
            <w:tcW w:type="dxa" w:w="831"/>
          </w:tcPr>
          <w:p>
            <w:pPr>
              <w:pStyle w:val="null3"/>
              <w:jc w:val="right"/>
            </w:pPr>
            <w:r>
              <w:rPr/>
              <w:t>1.00</w:t>
            </w:r>
          </w:p>
        </w:tc>
        <w:tc>
          <w:tcPr>
            <w:tcW w:type="dxa" w:w="831"/>
          </w:tcPr>
          <w:p>
            <w:pPr>
              <w:pStyle w:val="null3"/>
              <w:jc w:val="right"/>
            </w:pPr>
            <w:r>
              <w:rPr/>
              <w:t>10,360,000.00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3,976,000.00</w:t>
      </w:r>
    </w:p>
    <w:p>
      <w:pPr>
        <w:pStyle w:val="null3"/>
      </w:pPr>
      <w:r>
        <w:rPr/>
        <w:t>采购包最高限价（元）: 3,976,000.00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铜川市中心城区国土空间详细规划（单元+重点地块）编制项目（二标段）</w:t>
            </w:r>
          </w:p>
        </w:tc>
        <w:tc>
          <w:tcPr>
            <w:tcW w:type="dxa" w:w="831"/>
          </w:tcPr>
          <w:p>
            <w:pPr>
              <w:pStyle w:val="null3"/>
              <w:jc w:val="right"/>
            </w:pPr>
            <w:r>
              <w:rPr/>
              <w:t>1.00</w:t>
            </w:r>
          </w:p>
        </w:tc>
        <w:tc>
          <w:tcPr>
            <w:tcW w:type="dxa" w:w="831"/>
          </w:tcPr>
          <w:p>
            <w:pPr>
              <w:pStyle w:val="null3"/>
              <w:jc w:val="right"/>
            </w:pPr>
            <w:r>
              <w:rPr/>
              <w:t>3,976,000.00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244,100.00</w:t>
      </w:r>
    </w:p>
    <w:p>
      <w:pPr>
        <w:pStyle w:val="null3"/>
      </w:pPr>
      <w:r>
        <w:rPr/>
        <w:t>采购包最高限价（元）: 244,100.00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铜川市中心城区国土空间详细规划（单元+重点地块）编制项目（ 三标段）</w:t>
            </w:r>
          </w:p>
        </w:tc>
        <w:tc>
          <w:tcPr>
            <w:tcW w:type="dxa" w:w="831"/>
          </w:tcPr>
          <w:p>
            <w:pPr>
              <w:pStyle w:val="null3"/>
              <w:jc w:val="right"/>
            </w:pPr>
            <w:r>
              <w:rPr/>
              <w:t>1.00</w:t>
            </w:r>
          </w:p>
        </w:tc>
        <w:tc>
          <w:tcPr>
            <w:tcW w:type="dxa" w:w="831"/>
          </w:tcPr>
          <w:p>
            <w:pPr>
              <w:pStyle w:val="null3"/>
              <w:jc w:val="right"/>
            </w:pPr>
            <w:r>
              <w:rPr/>
              <w:t>244,100.00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标的名称：铜川市中心城区国土空间详细规划（单元+重点地块）编制项目（一标段）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373"/>
              <w:jc w:val="both"/>
            </w:pPr>
            <w:r>
              <w:rPr>
                <w:rFonts w:ascii="宋体" w:hAnsi="宋体" w:cs="宋体" w:eastAsia="宋体"/>
                <w:b/>
                <w:sz w:val="28"/>
              </w:rPr>
              <w:t xml:space="preserve">      采购需求</w:t>
            </w:r>
          </w:p>
          <w:p>
            <w:pPr>
              <w:pStyle w:val="null3"/>
              <w:numPr>
                <w:ilvl w:val="0"/>
                <w:numId w:val="1"/>
              </w:numPr>
              <w:jc w:val="both"/>
            </w:pPr>
            <w:r>
              <w:rPr>
                <w:rFonts w:ascii="宋体" w:hAnsi="宋体" w:cs="宋体" w:eastAsia="宋体"/>
                <w:b/>
                <w:sz w:val="24"/>
              </w:rPr>
              <w:t>项目背景</w:t>
            </w:r>
          </w:p>
          <w:p>
            <w:pPr>
              <w:pStyle w:val="null3"/>
              <w:ind w:firstLine="480"/>
              <w:jc w:val="both"/>
            </w:pPr>
            <w:r>
              <w:rPr>
                <w:rFonts w:ascii="宋体" w:hAnsi="宋体" w:cs="宋体" w:eastAsia="宋体"/>
                <w:color w:val="000000"/>
                <w:sz w:val="24"/>
              </w:rPr>
              <w:t>按照《中共中央国务院关于建立国土空间规划体系并监督实施的若干意见》（中发〔</w:t>
            </w:r>
            <w:r>
              <w:rPr>
                <w:rFonts w:ascii="宋体" w:hAnsi="宋体" w:cs="宋体" w:eastAsia="宋体"/>
                <w:color w:val="000000"/>
                <w:sz w:val="24"/>
              </w:rPr>
              <w:t>2019〕18号），详细规划是“五级三类”国土空间规划体系的重要组成部分，是开展国土空间开发保护活动、实施国土空间用途管制、核发城乡建设项目规划许可、进行各项建设等的法定依据。科学编制国土空间详细规划，是深入贯彻落实党中央、国务院建立国土空间规划体系并监督实施决策部署的具体体现。《中共陕西省委陕西省人民政府关于加快建立并监督实施陕西省国土空间规划体系的实施意见（2020年10月18日）</w:t>
            </w:r>
            <w:r>
              <w:rPr>
                <w:rFonts w:ascii="宋体" w:hAnsi="宋体" w:cs="宋体" w:eastAsia="宋体"/>
                <w:color w:val="000000"/>
                <w:sz w:val="24"/>
              </w:rPr>
              <w:t>》《</w:t>
            </w:r>
            <w:r>
              <w:rPr>
                <w:rFonts w:ascii="宋体" w:hAnsi="宋体" w:cs="宋体" w:eastAsia="宋体"/>
                <w:color w:val="000000"/>
                <w:sz w:val="24"/>
              </w:rPr>
              <w:t>自然资源部关于加强国土空间详细规划工作的通知》（自然资发〔</w:t>
            </w:r>
            <w:r>
              <w:rPr>
                <w:rFonts w:ascii="宋体" w:hAnsi="宋体" w:cs="宋体" w:eastAsia="宋体"/>
                <w:color w:val="000000"/>
                <w:sz w:val="24"/>
              </w:rPr>
              <w:t>2023〕43号）及有关会议精神提出：</w:t>
            </w:r>
            <w:r>
              <w:rPr>
                <w:rFonts w:ascii="宋体" w:hAnsi="宋体" w:cs="宋体" w:eastAsia="宋体"/>
                <w:color w:val="000000"/>
                <w:sz w:val="24"/>
              </w:rPr>
              <w:t>国土空间</w:t>
            </w:r>
            <w:r>
              <w:rPr>
                <w:rFonts w:ascii="宋体" w:hAnsi="宋体" w:cs="宋体" w:eastAsia="宋体"/>
                <w:color w:val="000000"/>
                <w:sz w:val="24"/>
              </w:rPr>
              <w:t>详细规划要落实总体规划确定的约束性指标和刚性管控要求，要做好与专项规划的衔接，制定土地使用性质及其兼容性等用地功能控制要求，明确容积率、建筑高度、建筑密度、绿地率等用地指标，说明基础设施、公共服务设施、公共安全设施的用地规模、范围及具体控制要求以及地下管线控制要求等内容。</w:t>
            </w:r>
          </w:p>
          <w:p>
            <w:pPr>
              <w:pStyle w:val="null3"/>
              <w:numPr>
                <w:ilvl w:val="0"/>
                <w:numId w:val="1"/>
              </w:numPr>
              <w:jc w:val="both"/>
            </w:pPr>
            <w:r>
              <w:rPr>
                <w:rFonts w:ascii="宋体" w:hAnsi="宋体" w:cs="宋体" w:eastAsia="宋体"/>
                <w:b/>
                <w:sz w:val="24"/>
              </w:rPr>
              <w:t>项目要求</w:t>
            </w:r>
          </w:p>
          <w:p>
            <w:pPr>
              <w:pStyle w:val="null3"/>
              <w:ind w:firstLine="480"/>
              <w:jc w:val="both"/>
            </w:pPr>
            <w:r>
              <w:rPr>
                <w:rFonts w:ascii="宋体" w:hAnsi="宋体" w:cs="宋体" w:eastAsia="宋体"/>
                <w:b/>
                <w:color w:val="000000"/>
                <w:sz w:val="24"/>
              </w:rPr>
              <w:t>1</w:t>
            </w:r>
            <w:r>
              <w:rPr>
                <w:rFonts w:ascii="宋体" w:hAnsi="宋体" w:cs="宋体" w:eastAsia="宋体"/>
                <w:b/>
                <w:color w:val="000000"/>
                <w:sz w:val="24"/>
              </w:rPr>
              <w:t>.</w:t>
            </w:r>
            <w:r>
              <w:rPr>
                <w:rFonts w:ascii="宋体" w:hAnsi="宋体" w:cs="宋体" w:eastAsia="宋体"/>
                <w:b/>
                <w:color w:val="000000"/>
                <w:sz w:val="24"/>
              </w:rPr>
              <w:t xml:space="preserve"> </w:t>
            </w:r>
            <w:r>
              <w:rPr>
                <w:rFonts w:ascii="宋体" w:hAnsi="宋体" w:cs="宋体" w:eastAsia="宋体"/>
                <w:b/>
                <w:color w:val="000000"/>
                <w:sz w:val="24"/>
              </w:rPr>
              <w:t>必须体现</w:t>
            </w:r>
            <w:r>
              <w:rPr>
                <w:rFonts w:ascii="宋体" w:hAnsi="宋体" w:cs="宋体" w:eastAsia="宋体"/>
                <w:b/>
                <w:color w:val="000000"/>
                <w:sz w:val="24"/>
              </w:rPr>
              <w:t>“多规合一”的改革要求</w:t>
            </w:r>
          </w:p>
          <w:p>
            <w:pPr>
              <w:pStyle w:val="null3"/>
              <w:ind w:firstLine="480"/>
              <w:jc w:val="both"/>
            </w:pPr>
            <w:r>
              <w:rPr>
                <w:rFonts w:ascii="宋体" w:hAnsi="宋体" w:cs="宋体" w:eastAsia="宋体"/>
                <w:color w:val="000000"/>
                <w:sz w:val="24"/>
              </w:rPr>
              <w:t>在机构改革和建立国土空间规划体系并监督实施的背景下，国土空间详细规划不是传统城乡规划体系中的控制性详细规划，必须要强化土地利用规划和土地用途管制，研究土地开发中的资源属性、社会属性和经济属性，充分尊重土地权属，统筹衔接土地征收成片开发方案、城镇低效用地再开发、土地综合整治、海绵城市建设、城市更新、历史文化保护、绿地系统等多领域需求，发挥统筹协调和保障管控作用，切实落实</w:t>
            </w:r>
            <w:r>
              <w:rPr>
                <w:rFonts w:ascii="宋体" w:hAnsi="宋体" w:cs="宋体" w:eastAsia="宋体"/>
                <w:color w:val="000000"/>
                <w:sz w:val="24"/>
              </w:rPr>
              <w:t>“多规合一”改革要求。</w:t>
            </w:r>
          </w:p>
          <w:p>
            <w:pPr>
              <w:pStyle w:val="null3"/>
              <w:numPr>
                <w:ilvl w:val="0"/>
                <w:numId w:val="2"/>
              </w:numPr>
              <w:jc w:val="both"/>
            </w:pPr>
            <w:r>
              <w:rPr>
                <w:rFonts w:ascii="宋体" w:hAnsi="宋体" w:cs="宋体" w:eastAsia="宋体"/>
                <w:b/>
                <w:color w:val="000000"/>
                <w:sz w:val="24"/>
              </w:rPr>
              <w:t>必须适应</w:t>
            </w:r>
            <w:r>
              <w:rPr>
                <w:rFonts w:ascii="宋体" w:hAnsi="宋体" w:cs="宋体" w:eastAsia="宋体"/>
                <w:b/>
                <w:color w:val="000000"/>
                <w:sz w:val="24"/>
              </w:rPr>
              <w:t>“传导管控”的管理要求</w:t>
            </w:r>
          </w:p>
          <w:p>
            <w:pPr>
              <w:pStyle w:val="null3"/>
              <w:ind w:firstLine="480"/>
              <w:jc w:val="both"/>
            </w:pPr>
            <w:r>
              <w:rPr>
                <w:rFonts w:ascii="宋体" w:hAnsi="宋体" w:cs="宋体" w:eastAsia="宋体"/>
                <w:color w:val="000000"/>
                <w:sz w:val="24"/>
              </w:rPr>
              <w:t>《中共中央国务院关于建立国土空间规划体系并监督实施的若干意见》明确提出</w:t>
            </w:r>
            <w:r>
              <w:rPr>
                <w:rFonts w:ascii="宋体" w:hAnsi="宋体" w:cs="宋体" w:eastAsia="宋体"/>
                <w:color w:val="000000"/>
                <w:sz w:val="24"/>
              </w:rPr>
              <w:t>“自上而下编制各级国土空间规划，对空间发展作出系统性安排”。详细规划应细化落实国土空间总体规划刚性管控和传导内容，实现刚弹兼顾、编管结合，其成果纳入国土空间规划“一张图”。按照《自然资源部关于加强国土空间详细规划工作的通知》</w:t>
            </w:r>
            <w:r>
              <w:rPr>
                <w:rFonts w:ascii="宋体" w:hAnsi="宋体" w:cs="宋体" w:eastAsia="宋体"/>
                <w:color w:val="000000"/>
                <w:sz w:val="24"/>
              </w:rPr>
              <w:t>（</w:t>
            </w:r>
            <w:r>
              <w:rPr>
                <w:rFonts w:ascii="宋体" w:hAnsi="宋体" w:cs="宋体" w:eastAsia="宋体"/>
                <w:color w:val="000000"/>
                <w:sz w:val="24"/>
              </w:rPr>
              <w:t>自然资发〔</w:t>
            </w:r>
            <w:r>
              <w:rPr>
                <w:rFonts w:ascii="宋体" w:hAnsi="宋体" w:cs="宋体" w:eastAsia="宋体"/>
                <w:color w:val="000000"/>
                <w:sz w:val="24"/>
              </w:rPr>
              <w:t>2023〕43 号</w:t>
            </w:r>
            <w:r>
              <w:rPr>
                <w:rFonts w:ascii="宋体" w:hAnsi="宋体" w:cs="宋体" w:eastAsia="宋体"/>
                <w:color w:val="000000"/>
                <w:sz w:val="24"/>
              </w:rPr>
              <w:t>）</w:t>
            </w:r>
            <w:r>
              <w:rPr>
                <w:rFonts w:ascii="宋体" w:hAnsi="宋体" w:cs="宋体" w:eastAsia="宋体"/>
                <w:color w:val="000000"/>
                <w:sz w:val="24"/>
              </w:rPr>
              <w:t>要求，要按照城市是一个有机生命体的理念，结合行政事权统筹生产、生活、生态和安全功能需求划定详细规划编制单元，将上位总体规划战略目标、底线管控、功能布局、空间结构、资源利用等方面的要求分解落实到各规划单元，加强单元之间的系统协同，作为深化实施层面详细规划的基础。同时，根据建立国土空间规划体系要求，省厅也不断在强化详细规划的备案审查，以强化管控约束，推进规划编制和实施管理的数字化转型，规划数据矢量成果纳入国土空间基础信息平台和</w:t>
            </w:r>
            <w:r>
              <w:rPr>
                <w:rFonts w:ascii="宋体" w:hAnsi="宋体" w:cs="宋体" w:eastAsia="宋体"/>
                <w:color w:val="000000"/>
                <w:sz w:val="24"/>
              </w:rPr>
              <w:t>“一张图”实施监督系统。</w:t>
            </w:r>
          </w:p>
          <w:p>
            <w:pPr>
              <w:pStyle w:val="null3"/>
              <w:ind w:firstLine="480"/>
              <w:jc w:val="both"/>
            </w:pPr>
            <w:r>
              <w:rPr>
                <w:rFonts w:ascii="宋体" w:hAnsi="宋体" w:cs="宋体" w:eastAsia="宋体"/>
                <w:b/>
                <w:color w:val="000000"/>
                <w:sz w:val="24"/>
              </w:rPr>
              <w:t>3</w:t>
            </w:r>
            <w:r>
              <w:rPr>
                <w:rFonts w:ascii="宋体" w:hAnsi="宋体" w:cs="宋体" w:eastAsia="宋体"/>
                <w:b/>
                <w:color w:val="000000"/>
                <w:sz w:val="24"/>
              </w:rPr>
              <w:t>.</w:t>
            </w:r>
            <w:r>
              <w:rPr>
                <w:rFonts w:ascii="宋体" w:hAnsi="宋体" w:cs="宋体" w:eastAsia="宋体"/>
                <w:b/>
                <w:color w:val="000000"/>
                <w:sz w:val="24"/>
              </w:rPr>
              <w:t xml:space="preserve"> </w:t>
            </w:r>
            <w:r>
              <w:rPr>
                <w:rFonts w:ascii="宋体" w:hAnsi="宋体" w:cs="宋体" w:eastAsia="宋体"/>
                <w:b/>
                <w:color w:val="000000"/>
                <w:sz w:val="24"/>
              </w:rPr>
              <w:t>必须满足</w:t>
            </w:r>
            <w:r>
              <w:rPr>
                <w:rFonts w:ascii="宋体" w:hAnsi="宋体" w:cs="宋体" w:eastAsia="宋体"/>
                <w:b/>
                <w:color w:val="000000"/>
                <w:sz w:val="24"/>
              </w:rPr>
              <w:t>“动态维护”的实施要求</w:t>
            </w:r>
          </w:p>
          <w:p>
            <w:pPr>
              <w:pStyle w:val="null3"/>
              <w:ind w:firstLine="480"/>
              <w:jc w:val="both"/>
            </w:pPr>
            <w:r>
              <w:rPr>
                <w:rFonts w:ascii="宋体" w:hAnsi="宋体" w:cs="宋体" w:eastAsia="宋体"/>
                <w:color w:val="000000"/>
                <w:sz w:val="24"/>
              </w:rPr>
              <w:t>传统控规重规划、轻规则，表达的是规划期末</w:t>
            </w:r>
            <w:r>
              <w:rPr>
                <w:rFonts w:ascii="宋体" w:hAnsi="宋体" w:cs="宋体" w:eastAsia="宋体"/>
                <w:color w:val="000000"/>
                <w:sz w:val="24"/>
              </w:rPr>
              <w:t>“蓝图”式的建设结果，与经济社会发展和城市建设的复杂性相比，缺乏有效的动态应对措施，导致控规频繁调整成为普遍现象。而国土空间规划体系下的详细规划将由静态终极式蓝图向动态“一张图”转变，兼具规划与规则的双重属性，用规划表达可能的建设结果，包括土地使用功能、开发强度和设施配置等相对合理的方案；用规则表达管控措施，概括或抽象出方案的内在核心控制要素，使多种方案的灵活实施成为可能。在深化落实国土空间总体规划内容的同时，结合现状发展基础和建设管理的责权关系，及时应变、修正和调整实施过程中存在的问题，制定符合地方发展需求、可操作的管控内容，保障规划的有效实施，从而更好地配置土地资源、发挥经济效益。</w:t>
            </w:r>
          </w:p>
          <w:p>
            <w:pPr>
              <w:pStyle w:val="null3"/>
              <w:numPr>
                <w:ilvl w:val="0"/>
                <w:numId w:val="1"/>
              </w:numPr>
              <w:jc w:val="both"/>
            </w:pPr>
            <w:r>
              <w:rPr>
                <w:rFonts w:ascii="宋体" w:hAnsi="宋体" w:cs="宋体" w:eastAsia="宋体"/>
                <w:b/>
                <w:sz w:val="24"/>
              </w:rPr>
              <w:t>项目</w:t>
            </w:r>
            <w:r>
              <w:rPr>
                <w:rFonts w:ascii="宋体" w:hAnsi="宋体" w:cs="宋体" w:eastAsia="宋体"/>
                <w:b/>
                <w:sz w:val="24"/>
              </w:rPr>
              <w:t>服务内容：</w:t>
            </w:r>
          </w:p>
          <w:p>
            <w:pPr>
              <w:pStyle w:val="null3"/>
              <w:ind w:firstLine="480"/>
              <w:jc w:val="both"/>
            </w:pPr>
            <w:r>
              <w:rPr>
                <w:rFonts w:ascii="宋体" w:hAnsi="宋体" w:cs="宋体" w:eastAsia="宋体"/>
                <w:sz w:val="24"/>
              </w:rPr>
              <w:t>具体</w:t>
            </w:r>
            <w:r>
              <w:rPr>
                <w:rFonts w:ascii="宋体" w:hAnsi="宋体" w:cs="宋体" w:eastAsia="宋体"/>
                <w:sz w:val="24"/>
              </w:rPr>
              <w:t>内容分为以下</w:t>
            </w:r>
            <w:r>
              <w:rPr>
                <w:rFonts w:ascii="宋体" w:hAnsi="宋体" w:cs="宋体" w:eastAsia="宋体"/>
                <w:sz w:val="24"/>
              </w:rPr>
              <w:t>5</w:t>
            </w:r>
            <w:r>
              <w:rPr>
                <w:rFonts w:ascii="宋体" w:hAnsi="宋体" w:cs="宋体" w:eastAsia="宋体"/>
                <w:sz w:val="24"/>
              </w:rPr>
              <w:t>项：</w:t>
            </w:r>
          </w:p>
          <w:p>
            <w:pPr>
              <w:pStyle w:val="null3"/>
              <w:numPr>
                <w:ilvl w:val="0"/>
                <w:numId w:val="2"/>
              </w:numPr>
              <w:jc w:val="both"/>
            </w:pPr>
            <w:r>
              <w:rPr>
                <w:rFonts w:ascii="宋体" w:hAnsi="宋体" w:cs="宋体" w:eastAsia="宋体"/>
                <w:color w:val="000000"/>
                <w:sz w:val="24"/>
              </w:rPr>
              <w:t>对现行国土空间详细规划实施评估</w:t>
            </w:r>
            <w:r>
              <w:rPr>
                <w:rFonts w:ascii="宋体" w:hAnsi="宋体" w:cs="宋体" w:eastAsia="宋体"/>
                <w:color w:val="000000"/>
                <w:sz w:val="24"/>
              </w:rPr>
              <w:t>；</w:t>
            </w:r>
          </w:p>
          <w:p>
            <w:pPr>
              <w:pStyle w:val="null3"/>
              <w:numPr>
                <w:ilvl w:val="0"/>
                <w:numId w:val="2"/>
              </w:numPr>
              <w:jc w:val="both"/>
            </w:pPr>
            <w:r>
              <w:rPr>
                <w:rFonts w:ascii="宋体" w:hAnsi="宋体" w:cs="宋体" w:eastAsia="宋体"/>
                <w:color w:val="000000"/>
                <w:sz w:val="24"/>
              </w:rPr>
              <w:t>开展前期各专项研究</w:t>
            </w:r>
            <w:r>
              <w:rPr>
                <w:rFonts w:ascii="宋体" w:hAnsi="宋体" w:cs="宋体" w:eastAsia="宋体"/>
                <w:color w:val="000000"/>
                <w:sz w:val="24"/>
              </w:rPr>
              <w:t>并形成</w:t>
            </w:r>
            <w:r>
              <w:rPr>
                <w:rFonts w:ascii="宋体" w:hAnsi="宋体" w:cs="宋体" w:eastAsia="宋体"/>
                <w:color w:val="000000"/>
                <w:sz w:val="24"/>
              </w:rPr>
              <w:t>报告</w:t>
            </w:r>
            <w:r>
              <w:rPr>
                <w:rFonts w:ascii="宋体" w:hAnsi="宋体" w:cs="宋体" w:eastAsia="宋体"/>
                <w:color w:val="000000"/>
                <w:sz w:val="24"/>
              </w:rPr>
              <w:t>；</w:t>
            </w:r>
          </w:p>
          <w:p>
            <w:pPr>
              <w:pStyle w:val="null3"/>
              <w:numPr>
                <w:ilvl w:val="0"/>
                <w:numId w:val="2"/>
              </w:numPr>
              <w:jc w:val="both"/>
            </w:pPr>
            <w:r>
              <w:rPr>
                <w:rFonts w:ascii="宋体" w:hAnsi="宋体" w:cs="宋体" w:eastAsia="宋体"/>
                <w:color w:val="000000"/>
                <w:sz w:val="24"/>
              </w:rPr>
              <w:t>国土空间详细规划编制技术规程拟定与细化</w:t>
            </w:r>
            <w:r>
              <w:rPr>
                <w:rFonts w:ascii="宋体" w:hAnsi="宋体" w:cs="宋体" w:eastAsia="宋体"/>
                <w:color w:val="000000"/>
                <w:sz w:val="24"/>
              </w:rPr>
              <w:t>；</w:t>
            </w:r>
          </w:p>
          <w:p>
            <w:pPr>
              <w:pStyle w:val="null3"/>
              <w:numPr>
                <w:ilvl w:val="0"/>
                <w:numId w:val="2"/>
              </w:numPr>
              <w:jc w:val="both"/>
            </w:pPr>
            <w:r>
              <w:rPr>
                <w:rFonts w:ascii="宋体" w:hAnsi="宋体" w:cs="宋体" w:eastAsia="宋体"/>
                <w:color w:val="000000"/>
                <w:sz w:val="24"/>
              </w:rPr>
              <w:t>铜川市中心城区国土空间详细规划单元层级方案编制</w:t>
            </w:r>
            <w:r>
              <w:rPr>
                <w:rFonts w:ascii="宋体" w:hAnsi="宋体" w:cs="宋体" w:eastAsia="宋体"/>
                <w:color w:val="000000"/>
                <w:sz w:val="24"/>
              </w:rPr>
              <w:t>；</w:t>
            </w:r>
          </w:p>
          <w:p>
            <w:pPr>
              <w:pStyle w:val="null3"/>
              <w:numPr>
                <w:ilvl w:val="0"/>
                <w:numId w:val="2"/>
              </w:numPr>
              <w:jc w:val="both"/>
            </w:pPr>
            <w:r>
              <w:rPr>
                <w:rFonts w:ascii="宋体" w:hAnsi="宋体" w:cs="宋体" w:eastAsia="宋体"/>
                <w:color w:val="000000"/>
                <w:sz w:val="24"/>
              </w:rPr>
              <w:t>国土空间详细规划数据库信息更新与</w:t>
            </w:r>
            <w:r>
              <w:rPr>
                <w:rFonts w:ascii="宋体" w:hAnsi="宋体" w:cs="宋体" w:eastAsia="宋体"/>
                <w:color w:val="000000"/>
                <w:sz w:val="24"/>
              </w:rPr>
              <w:t>动态</w:t>
            </w:r>
            <w:r>
              <w:rPr>
                <w:rFonts w:ascii="宋体" w:hAnsi="宋体" w:cs="宋体" w:eastAsia="宋体"/>
                <w:color w:val="000000"/>
                <w:sz w:val="24"/>
              </w:rPr>
              <w:t>维护</w:t>
            </w:r>
            <w:r>
              <w:rPr>
                <w:rFonts w:ascii="宋体" w:hAnsi="宋体" w:cs="宋体" w:eastAsia="宋体"/>
                <w:color w:val="000000"/>
                <w:sz w:val="24"/>
              </w:rPr>
              <w:t>。</w:t>
            </w:r>
          </w:p>
          <w:p>
            <w:pPr>
              <w:pStyle w:val="null3"/>
              <w:numPr>
                <w:ilvl w:val="0"/>
                <w:numId w:val="1"/>
              </w:numPr>
              <w:jc w:val="both"/>
            </w:pPr>
            <w:r>
              <w:rPr>
                <w:rFonts w:ascii="宋体" w:hAnsi="宋体" w:cs="宋体" w:eastAsia="宋体"/>
                <w:b/>
                <w:sz w:val="24"/>
              </w:rPr>
              <w:t>主要目标：</w:t>
            </w:r>
          </w:p>
          <w:p>
            <w:pPr>
              <w:pStyle w:val="null3"/>
              <w:ind w:firstLine="480"/>
              <w:jc w:val="both"/>
            </w:pPr>
            <w:r>
              <w:rPr>
                <w:rFonts w:ascii="宋体" w:hAnsi="宋体" w:cs="宋体" w:eastAsia="宋体"/>
                <w:color w:val="000000"/>
                <w:sz w:val="24"/>
              </w:rPr>
              <w:t>加快推进</w:t>
            </w:r>
            <w:r>
              <w:rPr>
                <w:rFonts w:ascii="宋体" w:hAnsi="宋体" w:cs="宋体" w:eastAsia="宋体"/>
                <w:color w:val="000000"/>
                <w:sz w:val="24"/>
              </w:rPr>
              <w:t>铜川市国土空间规划体系</w:t>
            </w:r>
            <w:r>
              <w:rPr>
                <w:rFonts w:ascii="宋体" w:hAnsi="宋体" w:cs="宋体" w:eastAsia="宋体"/>
                <w:color w:val="000000"/>
                <w:sz w:val="24"/>
              </w:rPr>
              <w:t>建设，推进增量拓展和存量利用，完善公共设施配套，为市民提供更加便捷、高效、绿色的出行环境</w:t>
            </w:r>
            <w:r>
              <w:rPr>
                <w:rFonts w:ascii="宋体" w:hAnsi="宋体" w:cs="宋体" w:eastAsia="宋体"/>
                <w:color w:val="000000"/>
                <w:sz w:val="24"/>
              </w:rPr>
              <w:t>，</w:t>
            </w:r>
            <w:r>
              <w:rPr>
                <w:rFonts w:ascii="宋体" w:hAnsi="宋体" w:cs="宋体" w:eastAsia="宋体"/>
                <w:color w:val="000000"/>
                <w:sz w:val="24"/>
              </w:rPr>
              <w:t>提高人民生活品质，打造生态宜居、幸福宜业、安全韧性的城市</w:t>
            </w:r>
            <w:r>
              <w:rPr>
                <w:rFonts w:ascii="宋体" w:hAnsi="宋体" w:cs="宋体" w:eastAsia="宋体"/>
                <w:color w:val="000000"/>
                <w:sz w:val="24"/>
              </w:rPr>
              <w:t>。</w:t>
            </w:r>
          </w:p>
          <w:p>
            <w:pPr>
              <w:pStyle w:val="null3"/>
              <w:numPr>
                <w:ilvl w:val="0"/>
                <w:numId w:val="1"/>
              </w:numPr>
              <w:jc w:val="both"/>
            </w:pPr>
            <w:r>
              <w:rPr>
                <w:rFonts w:ascii="宋体" w:hAnsi="宋体" w:cs="宋体" w:eastAsia="宋体"/>
                <w:b/>
                <w:sz w:val="24"/>
              </w:rPr>
              <w:t>技术要求：</w:t>
            </w:r>
          </w:p>
          <w:p>
            <w:pPr>
              <w:pStyle w:val="null3"/>
              <w:ind w:firstLine="480"/>
              <w:jc w:val="both"/>
            </w:pPr>
            <w:r>
              <w:rPr>
                <w:rFonts w:ascii="宋体" w:hAnsi="宋体" w:cs="宋体" w:eastAsia="宋体"/>
                <w:color w:val="000000"/>
                <w:sz w:val="24"/>
              </w:rPr>
              <w:t>落实国土空间总体规划，衔接相关专项规划，对现行控规的符合性、支撑性、适应性、实施性进行全面系统评估；就整体规划策略及技术路线、用地布局、划与上位规划的衔接、规划实施保障措施等详细规划编制关注的重点事项进行专题研究，形成研究报告成果，支撑详细规划编制；制定详细规划编制政策性文件和技术标准等，就控规技术要点、编制与审批、变更、实施与管理等内容进行规范，形成指导控规管理的工作制度；组织开展单元层次详细规划编制，侧重系统统筹、总量控制、分量管控，落实国土空间总体规划及其他相关规划确定的发展底线与公共利益，并对各区功能板块进行分量管控，落实刚性公益性设施底线、开发总量等管控要求；建立并做好</w:t>
            </w:r>
            <w:r>
              <w:rPr>
                <w:rFonts w:ascii="宋体" w:hAnsi="宋体" w:cs="宋体" w:eastAsia="宋体"/>
                <w:color w:val="000000"/>
                <w:sz w:val="24"/>
              </w:rPr>
              <w:t>详细规划数据库信息更新与</w:t>
            </w:r>
            <w:r>
              <w:rPr>
                <w:rFonts w:ascii="宋体" w:hAnsi="宋体" w:cs="宋体" w:eastAsia="宋体"/>
                <w:color w:val="000000"/>
                <w:sz w:val="24"/>
              </w:rPr>
              <w:t>动态</w:t>
            </w:r>
            <w:r>
              <w:rPr>
                <w:rFonts w:ascii="宋体" w:hAnsi="宋体" w:cs="宋体" w:eastAsia="宋体"/>
                <w:color w:val="000000"/>
                <w:sz w:val="24"/>
              </w:rPr>
              <w:t>维护</w:t>
            </w:r>
            <w:r>
              <w:rPr>
                <w:rFonts w:ascii="宋体" w:hAnsi="宋体" w:cs="宋体" w:eastAsia="宋体"/>
                <w:color w:val="000000"/>
                <w:sz w:val="24"/>
              </w:rPr>
              <w:t>。</w:t>
            </w:r>
          </w:p>
          <w:p>
            <w:pPr>
              <w:pStyle w:val="null3"/>
              <w:numPr>
                <w:ilvl w:val="0"/>
                <w:numId w:val="1"/>
              </w:numPr>
              <w:jc w:val="both"/>
            </w:pPr>
            <w:r>
              <w:rPr>
                <w:rFonts w:ascii="宋体" w:hAnsi="宋体" w:cs="宋体" w:eastAsia="宋体"/>
                <w:b/>
                <w:sz w:val="24"/>
              </w:rPr>
              <w:t>成果要求</w:t>
            </w:r>
          </w:p>
          <w:p>
            <w:pPr>
              <w:pStyle w:val="null3"/>
              <w:ind w:firstLine="482"/>
              <w:jc w:val="both"/>
            </w:pPr>
            <w:r>
              <w:rPr>
                <w:rFonts w:ascii="宋体" w:hAnsi="宋体" w:cs="宋体" w:eastAsia="宋体"/>
                <w:b/>
                <w:sz w:val="24"/>
              </w:rPr>
              <w:t>1、规划成果构成</w:t>
            </w:r>
          </w:p>
          <w:p>
            <w:pPr>
              <w:pStyle w:val="null3"/>
              <w:ind w:firstLine="480"/>
              <w:jc w:val="both"/>
            </w:pPr>
            <w:r>
              <w:rPr>
                <w:rFonts w:ascii="宋体" w:hAnsi="宋体" w:cs="宋体" w:eastAsia="宋体"/>
                <w:sz w:val="24"/>
              </w:rPr>
              <w:t>1.1 国土空间</w:t>
            </w:r>
            <w:r>
              <w:rPr>
                <w:rFonts w:ascii="宋体" w:hAnsi="宋体" w:cs="宋体" w:eastAsia="宋体"/>
                <w:sz w:val="24"/>
              </w:rPr>
              <w:t>详细规划（</w:t>
            </w:r>
            <w:r>
              <w:rPr>
                <w:rFonts w:ascii="宋体" w:hAnsi="宋体" w:cs="宋体" w:eastAsia="宋体"/>
                <w:sz w:val="24"/>
              </w:rPr>
              <w:t>单元</w:t>
            </w:r>
            <w:r>
              <w:rPr>
                <w:rFonts w:ascii="宋体" w:hAnsi="宋体" w:cs="宋体" w:eastAsia="宋体"/>
                <w:sz w:val="24"/>
              </w:rPr>
              <w:t>层次</w:t>
            </w:r>
            <w:r>
              <w:rPr>
                <w:rFonts w:ascii="宋体" w:hAnsi="宋体" w:cs="宋体" w:eastAsia="宋体"/>
                <w:sz w:val="24"/>
              </w:rPr>
              <w:t>）</w:t>
            </w:r>
            <w:r>
              <w:rPr>
                <w:rFonts w:ascii="宋体" w:hAnsi="宋体" w:cs="宋体" w:eastAsia="宋体"/>
                <w:sz w:val="24"/>
              </w:rPr>
              <w:t>成果包括规划文本、图件（图纸、图则）、附件及数据库；</w:t>
            </w:r>
          </w:p>
          <w:p>
            <w:pPr>
              <w:pStyle w:val="null3"/>
              <w:ind w:firstLine="480"/>
              <w:jc w:val="both"/>
            </w:pPr>
            <w:r>
              <w:rPr>
                <w:rFonts w:ascii="宋体" w:hAnsi="宋体" w:cs="宋体" w:eastAsia="宋体"/>
                <w:sz w:val="24"/>
              </w:rPr>
              <w:t xml:space="preserve">1.2 </w:t>
            </w:r>
            <w:r>
              <w:rPr>
                <w:rFonts w:ascii="宋体" w:hAnsi="宋体" w:cs="宋体" w:eastAsia="宋体"/>
                <w:sz w:val="24"/>
              </w:rPr>
              <w:t>现行国土空间详细规划实施评估成果为实施评估报告（</w:t>
            </w:r>
            <w:r>
              <w:rPr>
                <w:rFonts w:ascii="宋体" w:hAnsi="宋体" w:cs="宋体" w:eastAsia="宋体"/>
                <w:sz w:val="24"/>
              </w:rPr>
              <w:t>word）；</w:t>
            </w:r>
          </w:p>
          <w:p>
            <w:pPr>
              <w:pStyle w:val="null3"/>
              <w:ind w:firstLine="480"/>
              <w:jc w:val="both"/>
            </w:pPr>
            <w:r>
              <w:rPr>
                <w:rFonts w:ascii="宋体" w:hAnsi="宋体" w:cs="宋体" w:eastAsia="宋体"/>
                <w:sz w:val="24"/>
              </w:rPr>
              <w:t xml:space="preserve">1.3 </w:t>
            </w:r>
            <w:r>
              <w:rPr>
                <w:rFonts w:ascii="宋体" w:hAnsi="宋体" w:cs="宋体" w:eastAsia="宋体"/>
                <w:sz w:val="24"/>
              </w:rPr>
              <w:t>各专项研究成果为研究报告（</w:t>
            </w:r>
            <w:r>
              <w:rPr>
                <w:rFonts w:ascii="宋体" w:hAnsi="宋体" w:cs="宋体" w:eastAsia="宋体"/>
                <w:sz w:val="24"/>
              </w:rPr>
              <w:t>w</w:t>
            </w:r>
            <w:r>
              <w:rPr>
                <w:rFonts w:ascii="宋体" w:hAnsi="宋体" w:cs="宋体" w:eastAsia="宋体"/>
                <w:sz w:val="24"/>
              </w:rPr>
              <w:t>or</w:t>
            </w:r>
            <w:r>
              <w:rPr>
                <w:rFonts w:ascii="宋体" w:hAnsi="宋体" w:cs="宋体" w:eastAsia="宋体"/>
                <w:sz w:val="24"/>
              </w:rPr>
              <w:t>d）；</w:t>
            </w:r>
          </w:p>
          <w:p>
            <w:pPr>
              <w:pStyle w:val="null3"/>
              <w:ind w:firstLine="480"/>
              <w:jc w:val="both"/>
            </w:pPr>
            <w:r>
              <w:rPr>
                <w:rFonts w:ascii="宋体" w:hAnsi="宋体" w:cs="宋体" w:eastAsia="宋体"/>
                <w:sz w:val="24"/>
              </w:rPr>
              <w:t xml:space="preserve">1.4 </w:t>
            </w:r>
            <w:r>
              <w:rPr>
                <w:rFonts w:ascii="宋体" w:hAnsi="宋体" w:cs="宋体" w:eastAsia="宋体"/>
                <w:sz w:val="24"/>
              </w:rPr>
              <w:t>技术规程拟定文件成果为</w:t>
            </w:r>
            <w:r>
              <w:rPr>
                <w:rFonts w:ascii="宋体" w:hAnsi="宋体" w:cs="宋体" w:eastAsia="宋体"/>
                <w:sz w:val="24"/>
              </w:rPr>
              <w:t>word文件</w:t>
            </w:r>
          </w:p>
          <w:p>
            <w:pPr>
              <w:pStyle w:val="null3"/>
              <w:ind w:firstLine="480"/>
              <w:jc w:val="both"/>
            </w:pPr>
            <w:r>
              <w:rPr>
                <w:rFonts w:ascii="宋体" w:hAnsi="宋体" w:cs="宋体" w:eastAsia="宋体"/>
                <w:sz w:val="24"/>
              </w:rPr>
              <w:t xml:space="preserve">1.5 </w:t>
            </w:r>
            <w:r>
              <w:rPr>
                <w:rFonts w:ascii="宋体" w:hAnsi="宋体" w:cs="宋体" w:eastAsia="宋体"/>
                <w:color w:val="000000"/>
                <w:sz w:val="24"/>
              </w:rPr>
              <w:t>国土空间详细规划数据库</w:t>
            </w:r>
            <w:r>
              <w:rPr>
                <w:rFonts w:ascii="宋体" w:hAnsi="宋体" w:cs="宋体" w:eastAsia="宋体"/>
                <w:sz w:val="24"/>
              </w:rPr>
              <w:t>；</w:t>
            </w:r>
          </w:p>
          <w:p>
            <w:pPr>
              <w:pStyle w:val="null3"/>
              <w:ind w:firstLine="480"/>
              <w:jc w:val="both"/>
            </w:pPr>
            <w:r>
              <w:rPr>
                <w:rFonts w:ascii="宋体" w:hAnsi="宋体" w:cs="宋体" w:eastAsia="宋体"/>
                <w:b/>
                <w:sz w:val="24"/>
              </w:rPr>
              <w:t>2、中</w:t>
            </w:r>
            <w:r>
              <w:rPr>
                <w:rFonts w:ascii="宋体" w:hAnsi="宋体" w:cs="宋体" w:eastAsia="宋体"/>
                <w:b/>
                <w:sz w:val="24"/>
              </w:rPr>
              <w:t>心城区</w:t>
            </w:r>
            <w:r>
              <w:rPr>
                <w:rFonts w:ascii="宋体" w:hAnsi="宋体" w:cs="宋体" w:eastAsia="宋体"/>
                <w:b/>
                <w:sz w:val="24"/>
              </w:rPr>
              <w:t>国土空间详细规划（单</w:t>
            </w:r>
            <w:r>
              <w:rPr>
                <w:rFonts w:ascii="宋体" w:hAnsi="宋体" w:cs="宋体" w:eastAsia="宋体"/>
                <w:b/>
                <w:sz w:val="24"/>
              </w:rPr>
              <w:t>元</w:t>
            </w:r>
            <w:r>
              <w:rPr>
                <w:rFonts w:ascii="宋体" w:hAnsi="宋体" w:cs="宋体" w:eastAsia="宋体"/>
                <w:b/>
                <w:sz w:val="24"/>
              </w:rPr>
              <w:t>层次</w:t>
            </w:r>
            <w:r>
              <w:rPr>
                <w:rFonts w:ascii="宋体" w:hAnsi="宋体" w:cs="宋体" w:eastAsia="宋体"/>
                <w:b/>
                <w:sz w:val="24"/>
              </w:rPr>
              <w:t>）</w:t>
            </w:r>
            <w:r>
              <w:rPr>
                <w:rFonts w:ascii="宋体" w:hAnsi="宋体" w:cs="宋体" w:eastAsia="宋体"/>
                <w:b/>
                <w:sz w:val="24"/>
              </w:rPr>
              <w:t>成果内容</w:t>
            </w:r>
          </w:p>
          <w:p>
            <w:pPr>
              <w:pStyle w:val="null3"/>
              <w:ind w:firstLine="480"/>
              <w:jc w:val="both"/>
            </w:pPr>
            <w:r>
              <w:rPr>
                <w:rFonts w:ascii="宋体" w:hAnsi="宋体" w:cs="宋体" w:eastAsia="宋体"/>
                <w:sz w:val="24"/>
              </w:rPr>
              <w:t>2.1 文本</w:t>
            </w:r>
          </w:p>
          <w:p>
            <w:pPr>
              <w:pStyle w:val="null3"/>
              <w:ind w:firstLine="480"/>
              <w:jc w:val="both"/>
            </w:pPr>
            <w:r>
              <w:rPr>
                <w:rFonts w:ascii="宋体" w:hAnsi="宋体" w:cs="宋体" w:eastAsia="宋体"/>
                <w:sz w:val="24"/>
              </w:rPr>
              <w:t>2.2 图件</w:t>
            </w:r>
          </w:p>
          <w:p>
            <w:pPr>
              <w:pStyle w:val="null3"/>
              <w:ind w:firstLine="480"/>
              <w:jc w:val="both"/>
            </w:pPr>
            <w:r>
              <w:rPr>
                <w:rFonts w:ascii="宋体" w:hAnsi="宋体" w:cs="宋体" w:eastAsia="宋体"/>
                <w:sz w:val="24"/>
              </w:rPr>
              <w:t>图件包括图纸和图则两部分，制图精度不低于</w:t>
            </w:r>
            <w:r>
              <w:rPr>
                <w:rFonts w:ascii="宋体" w:hAnsi="宋体" w:cs="宋体" w:eastAsia="宋体"/>
                <w:sz w:val="24"/>
              </w:rPr>
              <w:t>1:</w:t>
            </w:r>
            <w:r>
              <w:rPr>
                <w:rFonts w:ascii="宋体" w:hAnsi="宋体" w:cs="宋体" w:eastAsia="宋体"/>
                <w:sz w:val="24"/>
              </w:rPr>
              <w:t>1</w:t>
            </w:r>
            <w:r>
              <w:rPr>
                <w:rFonts w:ascii="宋体" w:hAnsi="宋体" w:cs="宋体" w:eastAsia="宋体"/>
                <w:sz w:val="24"/>
              </w:rPr>
              <w:t>00</w:t>
            </w:r>
            <w:r>
              <w:rPr>
                <w:rFonts w:ascii="宋体" w:hAnsi="宋体" w:cs="宋体" w:eastAsia="宋体"/>
                <w:sz w:val="24"/>
              </w:rPr>
              <w:t>0</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1）图纸</w:t>
            </w:r>
          </w:p>
          <w:p>
            <w:pPr>
              <w:pStyle w:val="null3"/>
              <w:ind w:firstLine="480"/>
              <w:jc w:val="both"/>
            </w:pPr>
            <w:r>
              <w:rPr>
                <w:rFonts w:ascii="宋体" w:hAnsi="宋体" w:cs="宋体" w:eastAsia="宋体"/>
                <w:sz w:val="24"/>
              </w:rPr>
              <w:t>图纸基本要素组成包括图纸标题、副标题、规划期限、编制时间、指北针、比例尺、设计单位、图纸名称、图例说明等。规划图纸所表达的内容应与规划文本一致</w:t>
            </w:r>
            <w:r>
              <w:rPr>
                <w:rFonts w:ascii="宋体" w:hAnsi="宋体" w:cs="宋体" w:eastAsia="宋体"/>
                <w:sz w:val="24"/>
              </w:rPr>
              <w:t>。</w:t>
            </w:r>
          </w:p>
          <w:p>
            <w:pPr>
              <w:pStyle w:val="null3"/>
              <w:ind w:firstLine="240"/>
              <w:jc w:val="both"/>
            </w:pPr>
            <w:r>
              <w:rPr>
                <w:rFonts w:ascii="宋体" w:hAnsi="宋体" w:cs="宋体" w:eastAsia="宋体"/>
                <w:sz w:val="24"/>
              </w:rPr>
              <w:t>（</w:t>
            </w:r>
            <w:r>
              <w:rPr>
                <w:rFonts w:ascii="宋体" w:hAnsi="宋体" w:cs="宋体" w:eastAsia="宋体"/>
                <w:sz w:val="24"/>
              </w:rPr>
              <w:t>2）单元图则</w:t>
            </w:r>
          </w:p>
          <w:p>
            <w:pPr>
              <w:pStyle w:val="null3"/>
              <w:ind w:firstLine="480"/>
              <w:jc w:val="both"/>
            </w:pPr>
            <w:r>
              <w:rPr>
                <w:rFonts w:ascii="宋体" w:hAnsi="宋体" w:cs="宋体" w:eastAsia="宋体"/>
                <w:sz w:val="24"/>
              </w:rPr>
              <w:t>包括各单元主导功能与规模、用地布局管控、各类控制线管控、各类设施管控以及城市设计引导（结合不同片区功能提出建筑体量、界面、风格、色彩、第五立面、天际线等要素的设计要</w:t>
            </w:r>
            <w:r>
              <w:rPr>
                <w:rFonts w:ascii="宋体" w:hAnsi="宋体" w:cs="宋体" w:eastAsia="宋体"/>
                <w:color w:val="000000"/>
                <w:sz w:val="24"/>
              </w:rPr>
              <w:t>求</w:t>
            </w:r>
            <w:r>
              <w:rPr>
                <w:rFonts w:ascii="宋体" w:hAnsi="宋体" w:cs="宋体" w:eastAsia="宋体"/>
                <w:b/>
                <w:sz w:val="24"/>
              </w:rPr>
              <w:t>）</w:t>
            </w:r>
            <w:r>
              <w:rPr>
                <w:rFonts w:ascii="宋体" w:hAnsi="宋体" w:cs="宋体" w:eastAsia="宋体"/>
                <w:sz w:val="24"/>
              </w:rPr>
              <w:t>内容，采用图示和表格两种形式综合表达，图、表表达内容保持一致。</w:t>
            </w:r>
          </w:p>
          <w:p>
            <w:pPr>
              <w:pStyle w:val="null3"/>
              <w:ind w:firstLine="240"/>
              <w:jc w:val="both"/>
            </w:pPr>
            <w:r>
              <w:rPr>
                <w:rFonts w:ascii="宋体" w:hAnsi="宋体" w:cs="宋体" w:eastAsia="宋体"/>
                <w:sz w:val="24"/>
              </w:rPr>
              <w:t>（</w:t>
            </w:r>
            <w:r>
              <w:rPr>
                <w:rFonts w:ascii="宋体" w:hAnsi="宋体" w:cs="宋体" w:eastAsia="宋体"/>
                <w:sz w:val="24"/>
              </w:rPr>
              <w:t>3）地块图则</w:t>
            </w:r>
          </w:p>
          <w:p>
            <w:pPr>
              <w:pStyle w:val="null3"/>
              <w:ind w:firstLine="480"/>
              <w:jc w:val="both"/>
            </w:pPr>
            <w:r>
              <w:rPr>
                <w:rFonts w:ascii="宋体" w:hAnsi="宋体" w:cs="宋体" w:eastAsia="宋体"/>
                <w:sz w:val="24"/>
              </w:rPr>
              <w:t>图则基本要素组成：图纸标题、副标题、规划期限、编制时间、指北针、比例尺、设计单位等，各地块控制性详细规划图一般应分幅绘制成分图图则，图幅大小、内容深度、表达方式均应规格统一。</w:t>
            </w:r>
          </w:p>
          <w:p>
            <w:pPr>
              <w:pStyle w:val="null3"/>
              <w:ind w:firstLine="480"/>
              <w:jc w:val="both"/>
            </w:pPr>
            <w:r>
              <w:rPr>
                <w:rFonts w:ascii="宋体" w:hAnsi="宋体" w:cs="宋体" w:eastAsia="宋体"/>
                <w:sz w:val="24"/>
              </w:rPr>
              <w:t>2.3 附件</w:t>
            </w:r>
          </w:p>
          <w:p>
            <w:pPr>
              <w:pStyle w:val="null3"/>
              <w:ind w:firstLine="480"/>
              <w:jc w:val="both"/>
            </w:pPr>
            <w:r>
              <w:rPr>
                <w:rFonts w:ascii="宋体" w:hAnsi="宋体" w:cs="宋体" w:eastAsia="宋体"/>
                <w:sz w:val="24"/>
              </w:rPr>
              <w:t>规划附件包含规划说明、基础资料汇编、专题研究、相关文件汇编、</w:t>
            </w:r>
            <w:r>
              <w:rPr>
                <w:rFonts w:ascii="宋体" w:hAnsi="宋体" w:cs="宋体" w:eastAsia="宋体"/>
                <w:sz w:val="24"/>
              </w:rPr>
              <w:t>1:1000比例的CAD地形图、高清影像图等内容。</w:t>
            </w:r>
          </w:p>
          <w:p>
            <w:pPr>
              <w:pStyle w:val="null3"/>
              <w:ind w:firstLine="480"/>
              <w:jc w:val="both"/>
            </w:pPr>
            <w:r>
              <w:rPr>
                <w:rFonts w:ascii="宋体" w:hAnsi="宋体" w:cs="宋体" w:eastAsia="宋体"/>
                <w:sz w:val="24"/>
              </w:rPr>
              <w:t>2.4 数据库</w:t>
            </w:r>
          </w:p>
          <w:p>
            <w:pPr>
              <w:pStyle w:val="null3"/>
              <w:ind w:firstLine="480"/>
              <w:jc w:val="both"/>
            </w:pPr>
            <w:r>
              <w:rPr>
                <w:rFonts w:ascii="宋体" w:hAnsi="宋体" w:cs="宋体" w:eastAsia="宋体"/>
                <w:sz w:val="24"/>
              </w:rPr>
              <w:t>国土空间详细规划数据库是国土空间规划</w:t>
            </w:r>
            <w:r>
              <w:rPr>
                <w:rFonts w:ascii="宋体" w:hAnsi="宋体" w:cs="宋体" w:eastAsia="宋体"/>
                <w:sz w:val="24"/>
              </w:rPr>
              <w:t>“一张图”的重要组成部分，在国土空间详细规划编制过程中同步建立规划成果数据库，并整合到国土空间基础信息平台。</w:t>
            </w:r>
          </w:p>
          <w:p>
            <w:pPr>
              <w:pStyle w:val="null3"/>
              <w:numPr>
                <w:ilvl w:val="0"/>
                <w:numId w:val="1"/>
              </w:numPr>
              <w:jc w:val="both"/>
            </w:pPr>
            <w:r>
              <w:rPr>
                <w:rFonts w:ascii="宋体" w:hAnsi="宋体" w:cs="宋体" w:eastAsia="宋体"/>
                <w:b/>
                <w:sz w:val="24"/>
              </w:rPr>
              <w:t>付款方式</w:t>
            </w:r>
          </w:p>
          <w:p>
            <w:pPr>
              <w:pStyle w:val="null3"/>
              <w:ind w:firstLine="480"/>
              <w:jc w:val="both"/>
            </w:pPr>
            <w:r>
              <w:rPr>
                <w:rFonts w:ascii="宋体" w:hAnsi="宋体" w:cs="宋体" w:eastAsia="宋体"/>
                <w:sz w:val="24"/>
              </w:rPr>
              <w:t>付款方式：分三次支付项目款</w:t>
            </w:r>
          </w:p>
          <w:p>
            <w:pPr>
              <w:pStyle w:val="null3"/>
              <w:ind w:firstLine="480"/>
              <w:jc w:val="both"/>
            </w:pPr>
            <w:r>
              <w:rPr>
                <w:rFonts w:ascii="宋体" w:hAnsi="宋体" w:cs="宋体" w:eastAsia="宋体"/>
                <w:sz w:val="24"/>
              </w:rPr>
              <w:t>第一次：自合同签订之日起</w:t>
            </w:r>
            <w:r>
              <w:rPr>
                <w:rFonts w:ascii="宋体" w:hAnsi="宋体" w:cs="宋体" w:eastAsia="宋体"/>
                <w:sz w:val="24"/>
              </w:rPr>
              <w:t>7日内，甲方向乙方支付合同总金额40%的费用，作为项目启动费；</w:t>
            </w:r>
          </w:p>
          <w:p>
            <w:pPr>
              <w:pStyle w:val="null3"/>
              <w:ind w:firstLine="480"/>
              <w:jc w:val="both"/>
            </w:pPr>
            <w:r>
              <w:rPr>
                <w:rFonts w:ascii="宋体" w:hAnsi="宋体" w:cs="宋体" w:eastAsia="宋体"/>
                <w:sz w:val="24"/>
              </w:rPr>
              <w:t>第二次：形成初步成果并通过专家审查后</w:t>
            </w:r>
            <w:r>
              <w:rPr>
                <w:rFonts w:ascii="宋体" w:hAnsi="宋体" w:cs="宋体" w:eastAsia="宋体"/>
                <w:sz w:val="24"/>
              </w:rPr>
              <w:t>7个工作日内，甲方向乙方支付合同总金额40%的费用；</w:t>
            </w:r>
          </w:p>
          <w:p>
            <w:pPr>
              <w:pStyle w:val="null3"/>
              <w:ind w:firstLine="480"/>
              <w:jc w:val="both"/>
            </w:pPr>
            <w:r>
              <w:rPr>
                <w:rFonts w:ascii="宋体" w:hAnsi="宋体" w:cs="宋体" w:eastAsia="宋体"/>
                <w:sz w:val="24"/>
              </w:rPr>
              <w:t>第三次：形成报批成果并通过专家审查后</w:t>
            </w:r>
            <w:r>
              <w:rPr>
                <w:rFonts w:ascii="宋体" w:hAnsi="宋体" w:cs="宋体" w:eastAsia="宋体"/>
                <w:sz w:val="24"/>
              </w:rPr>
              <w:t>7个工作日内，甲方向乙方支付合同总金额20%的费用。</w:t>
            </w:r>
          </w:p>
          <w:p>
            <w:pPr>
              <w:pStyle w:val="null3"/>
              <w:numPr>
                <w:ilvl w:val="0"/>
                <w:numId w:val="1"/>
              </w:numPr>
              <w:jc w:val="both"/>
            </w:pPr>
            <w:r>
              <w:rPr>
                <w:rFonts w:ascii="宋体" w:hAnsi="宋体" w:cs="宋体" w:eastAsia="宋体"/>
                <w:b/>
                <w:sz w:val="24"/>
              </w:rPr>
              <w:t>服务周期</w:t>
            </w:r>
          </w:p>
          <w:p>
            <w:pPr>
              <w:pStyle w:val="null3"/>
              <w:jc w:val="both"/>
            </w:pPr>
            <w:r>
              <w:rPr>
                <w:rFonts w:ascii="宋体" w:hAnsi="宋体" w:cs="宋体" w:eastAsia="宋体"/>
                <w:sz w:val="24"/>
              </w:rPr>
              <w:t>合同签订之日起至</w:t>
            </w:r>
            <w:r>
              <w:rPr>
                <w:rFonts w:ascii="宋体" w:hAnsi="宋体" w:cs="宋体" w:eastAsia="宋体"/>
                <w:sz w:val="24"/>
              </w:rPr>
              <w:t>2024年10月底</w:t>
            </w:r>
            <w:r>
              <w:rPr>
                <w:rFonts w:ascii="宋体" w:hAnsi="宋体" w:cs="宋体" w:eastAsia="宋体"/>
                <w:sz w:val="24"/>
              </w:rPr>
              <w:t>，数据库更新及维护服务期限为</w:t>
            </w:r>
            <w:r>
              <w:rPr>
                <w:rFonts w:ascii="宋体" w:hAnsi="宋体" w:cs="宋体" w:eastAsia="宋体"/>
                <w:sz w:val="24"/>
              </w:rPr>
              <w:t>3年。</w:t>
            </w:r>
          </w:p>
          <w:p>
            <w:pPr>
              <w:pStyle w:val="null3"/>
              <w:spacing w:after="120"/>
              <w:ind w:left="420"/>
              <w:jc w:val="both"/>
            </w:pPr>
            <w:r>
              <w:rPr>
                <w:rFonts w:ascii="宋体" w:hAnsi="宋体" w:cs="宋体" w:eastAsia="宋体"/>
                <w:b/>
                <w:sz w:val="24"/>
              </w:rPr>
              <w:t>九、规划依据</w:t>
            </w:r>
          </w:p>
          <w:p>
            <w:pPr>
              <w:pStyle w:val="null3"/>
              <w:ind w:firstLine="480"/>
              <w:jc w:val="both"/>
            </w:pPr>
            <w:r>
              <w:rPr>
                <w:rFonts w:ascii="宋体" w:hAnsi="宋体" w:cs="宋体" w:eastAsia="宋体"/>
                <w:sz w:val="24"/>
              </w:rPr>
              <w:t>本次规划依据《中华人民共和国土地管理法》、《中华人民共和国土地管理法实施条例》、《中华人民共和国城乡规划法》、《中华人民共和国环境保护法》、《城市规划编制办法》、《城市、镇控制性详细规划编制审批办法》等相关法律、法规、条例；中共中央国务院《关于建立国土空间规划体系并监督实施的若干意见》、自然资源部国土空间规划局《关于加强国土空间详细规划工作的通知》、等政策文件；《国土空间调查、规划、用途管制用地用海分类指南（试行）》（</w:t>
            </w:r>
            <w:r>
              <w:rPr>
                <w:rFonts w:ascii="宋体" w:hAnsi="宋体" w:cs="宋体" w:eastAsia="宋体"/>
                <w:sz w:val="24"/>
              </w:rPr>
              <w:t>2020）、《城市居住区规划设计标准》（GB50180-2018）等相关规范、标准以及《铜川市国土空间总体规划（2021-2035年）》等已审定的规划编制成果，结合铜川市国土空间规划建设和管理要求等实际情况，制定工作方案。</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标的名称：铜川市中心城区国土空间详细规划（单元+重点地块）编制项目（二标段）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891"/>
              <w:jc w:val="both"/>
            </w:pPr>
            <w:r>
              <w:rPr>
                <w:rFonts w:ascii="宋体" w:hAnsi="宋体" w:cs="宋体" w:eastAsia="宋体"/>
                <w:b/>
                <w:sz w:val="24"/>
              </w:rPr>
              <w:t xml:space="preserve">           采购需求</w:t>
            </w:r>
          </w:p>
          <w:p>
            <w:pPr>
              <w:pStyle w:val="null3"/>
              <w:numPr>
                <w:ilvl w:val="0"/>
                <w:numId w:val="1"/>
              </w:numPr>
              <w:jc w:val="both"/>
            </w:pPr>
            <w:r>
              <w:rPr>
                <w:rFonts w:ascii="宋体" w:hAnsi="宋体" w:cs="宋体" w:eastAsia="宋体"/>
                <w:b/>
                <w:sz w:val="24"/>
              </w:rPr>
              <w:t>服务内容：</w:t>
            </w:r>
          </w:p>
          <w:p>
            <w:pPr>
              <w:pStyle w:val="null3"/>
              <w:ind w:firstLine="480"/>
              <w:jc w:val="both"/>
            </w:pPr>
            <w:r>
              <w:rPr>
                <w:rFonts w:ascii="宋体" w:hAnsi="宋体" w:cs="宋体" w:eastAsia="宋体"/>
                <w:sz w:val="24"/>
              </w:rPr>
              <w:t>铜川市中心城区（新耀城区）国土空间详细规划地块层级方案编制。</w:t>
            </w:r>
          </w:p>
          <w:p>
            <w:pPr>
              <w:pStyle w:val="null3"/>
              <w:numPr>
                <w:ilvl w:val="0"/>
                <w:numId w:val="1"/>
              </w:numPr>
              <w:jc w:val="both"/>
            </w:pPr>
            <w:r>
              <w:rPr>
                <w:rFonts w:ascii="宋体" w:hAnsi="宋体" w:cs="宋体" w:eastAsia="宋体"/>
                <w:b/>
                <w:sz w:val="24"/>
              </w:rPr>
              <w:t>主要目标：</w:t>
            </w:r>
          </w:p>
          <w:p>
            <w:pPr>
              <w:pStyle w:val="null3"/>
              <w:ind w:firstLine="480"/>
              <w:jc w:val="both"/>
            </w:pPr>
            <w:r>
              <w:rPr>
                <w:rFonts w:ascii="宋体" w:hAnsi="宋体" w:cs="宋体" w:eastAsia="宋体"/>
                <w:sz w:val="24"/>
              </w:rPr>
              <w:t>加快推进市中心城区建设，推进增量拓展和存量利用，完善公共设施配套，提高人民生活品质，打造生态宜居、幸福宜业、安全韧性的城市。</w:t>
            </w:r>
          </w:p>
          <w:p>
            <w:pPr>
              <w:pStyle w:val="null3"/>
              <w:numPr>
                <w:ilvl w:val="0"/>
                <w:numId w:val="1"/>
              </w:numPr>
              <w:jc w:val="both"/>
            </w:pPr>
            <w:r>
              <w:rPr>
                <w:rFonts w:ascii="宋体" w:hAnsi="宋体" w:cs="宋体" w:eastAsia="宋体"/>
                <w:b/>
                <w:sz w:val="24"/>
              </w:rPr>
              <w:t>技术要求：</w:t>
            </w:r>
          </w:p>
          <w:p>
            <w:pPr>
              <w:pStyle w:val="null3"/>
              <w:ind w:firstLine="480"/>
              <w:jc w:val="both"/>
            </w:pPr>
            <w:r>
              <w:rPr>
                <w:rFonts w:ascii="宋体" w:hAnsi="宋体" w:cs="宋体" w:eastAsia="宋体"/>
                <w:sz w:val="24"/>
              </w:rPr>
              <w:t>落实国土空间总体规划，衔接相关专项规划，在遵循单元详细规划内容的基础上，结合相关规范要求和发展需要，合理确定地块管控指标和设施配建要求，作为建设项目实施管理的直接依据。</w:t>
            </w:r>
          </w:p>
          <w:p>
            <w:pPr>
              <w:pStyle w:val="null3"/>
              <w:numPr>
                <w:ilvl w:val="0"/>
                <w:numId w:val="1"/>
              </w:numPr>
              <w:jc w:val="both"/>
            </w:pPr>
            <w:r>
              <w:rPr>
                <w:rFonts w:ascii="宋体" w:hAnsi="宋体" w:cs="宋体" w:eastAsia="宋体"/>
                <w:b/>
                <w:sz w:val="24"/>
              </w:rPr>
              <w:t>成果要求：</w:t>
            </w:r>
          </w:p>
          <w:p>
            <w:pPr>
              <w:pStyle w:val="null3"/>
              <w:ind w:firstLine="480"/>
              <w:jc w:val="both"/>
            </w:pPr>
            <w:r>
              <w:rPr>
                <w:rFonts w:ascii="宋体" w:hAnsi="宋体" w:cs="宋体" w:eastAsia="宋体"/>
                <w:sz w:val="24"/>
              </w:rPr>
              <w:t>负责编制铜川市中心城区（新耀城区）国土空间详细规划地块层级相关成果文件，包括文本、图件、图则、重点地块城市设计导则与附件（说明书、基础资料汇编、</w:t>
            </w:r>
            <w:r>
              <w:rPr>
                <w:rFonts w:ascii="宋体" w:hAnsi="宋体" w:cs="宋体" w:eastAsia="宋体"/>
                <w:sz w:val="24"/>
              </w:rPr>
              <w:t>1:1000比例的CAD地形图、高清影像图）数据库等成果，具体如下：</w:t>
            </w:r>
          </w:p>
          <w:p>
            <w:pPr>
              <w:pStyle w:val="null3"/>
              <w:ind w:firstLine="480"/>
              <w:jc w:val="both"/>
            </w:pPr>
            <w:r>
              <w:rPr>
                <w:rFonts w:ascii="宋体" w:hAnsi="宋体" w:cs="宋体" w:eastAsia="宋体"/>
                <w:sz w:val="24"/>
              </w:rPr>
              <w:t>（</w:t>
            </w:r>
            <w:r>
              <w:rPr>
                <w:rFonts w:ascii="宋体" w:hAnsi="宋体" w:cs="宋体" w:eastAsia="宋体"/>
                <w:sz w:val="24"/>
              </w:rPr>
              <w:t>1）依据国土空间总体规划和单元详细规划，落实深化公共服务设施、道路交通、绿地系统、给水工程、排水工程、电力工程、通信工程、燃气工程、环境卫生、住房建设、防灾减灾、地下空间开发与利用等城市专项规划确定的各类设施建设用地和空间控制要求，明确各项设施配建要求。</w:t>
            </w:r>
          </w:p>
          <w:p>
            <w:pPr>
              <w:pStyle w:val="null3"/>
              <w:ind w:firstLine="480"/>
              <w:jc w:val="both"/>
            </w:pPr>
            <w:r>
              <w:rPr>
                <w:rFonts w:ascii="宋体" w:hAnsi="宋体" w:cs="宋体" w:eastAsia="宋体"/>
                <w:sz w:val="24"/>
              </w:rPr>
              <w:t>（</w:t>
            </w:r>
            <w:r>
              <w:rPr>
                <w:rFonts w:ascii="宋体" w:hAnsi="宋体" w:cs="宋体" w:eastAsia="宋体"/>
                <w:sz w:val="24"/>
              </w:rPr>
              <w:t>2）应遵守国家有关标准和技术规范，采用符合国家规定的基础资料、统一底图底数，不得违反国土空间总体规划的强制性内容。</w:t>
            </w:r>
          </w:p>
          <w:p>
            <w:pPr>
              <w:pStyle w:val="null3"/>
              <w:ind w:firstLine="480"/>
              <w:jc w:val="both"/>
            </w:pPr>
            <w:r>
              <w:rPr>
                <w:rFonts w:ascii="宋体" w:hAnsi="宋体" w:cs="宋体" w:eastAsia="宋体"/>
                <w:sz w:val="24"/>
              </w:rPr>
              <w:t>（</w:t>
            </w:r>
            <w:r>
              <w:rPr>
                <w:rFonts w:ascii="宋体" w:hAnsi="宋体" w:cs="宋体" w:eastAsia="宋体"/>
                <w:sz w:val="24"/>
              </w:rPr>
              <w:t>3）依据总体规划、根据单元层次详细规划，结合实施需要、权属关系明确地块边界，充分考虑自上而下的要求、自下而上的诉求以及地块的具体情况，协调政府、原权利人、市场主体等各类利益相关方的意愿和诉求，结合项目实施机制和市场需求，研究适配的规划和土地政策，结合相关的规划技术手段（如城市设计、实景三维、交通影响评估、土地开发评估等），根据不同地块的特点，科学确定各项规划管控指标和引导要求。</w:t>
            </w:r>
          </w:p>
          <w:p>
            <w:pPr>
              <w:pStyle w:val="null3"/>
              <w:jc w:val="both"/>
            </w:pPr>
            <w:r>
              <w:rPr>
                <w:rFonts w:ascii="宋体" w:hAnsi="宋体" w:cs="宋体" w:eastAsia="宋体"/>
                <w:b/>
                <w:sz w:val="24"/>
              </w:rPr>
              <w:t>五、政策文件与技术规范：</w:t>
            </w:r>
          </w:p>
          <w:p>
            <w:pPr>
              <w:pStyle w:val="null3"/>
              <w:numPr>
                <w:ilvl w:val="0"/>
                <w:numId w:val="2"/>
              </w:numPr>
              <w:jc w:val="both"/>
            </w:pPr>
            <w:r>
              <w:rPr>
                <w:rFonts w:ascii="宋体" w:hAnsi="宋体" w:cs="宋体" w:eastAsia="宋体"/>
                <w:sz w:val="24"/>
              </w:rPr>
              <w:t>自然资源部《关于加强国土空间详细规划工作的通知》（自然资发〔</w:t>
            </w:r>
            <w:r>
              <w:rPr>
                <w:rFonts w:ascii="宋体" w:hAnsi="宋体" w:cs="宋体" w:eastAsia="宋体"/>
                <w:sz w:val="24"/>
              </w:rPr>
              <w:t>2023〕43号）；</w:t>
            </w:r>
          </w:p>
          <w:p>
            <w:pPr>
              <w:pStyle w:val="null3"/>
              <w:numPr>
                <w:ilvl w:val="0"/>
                <w:numId w:val="2"/>
              </w:numPr>
              <w:jc w:val="both"/>
            </w:pPr>
            <w:r>
              <w:rPr>
                <w:rFonts w:ascii="宋体" w:hAnsi="宋体" w:cs="宋体" w:eastAsia="宋体"/>
                <w:sz w:val="24"/>
              </w:rPr>
              <w:t>自然资源部关于印发《工业项目建设用地控制指标》的通知（自然资发〔</w:t>
            </w:r>
            <w:r>
              <w:rPr>
                <w:rFonts w:ascii="宋体" w:hAnsi="宋体" w:cs="宋体" w:eastAsia="宋体"/>
                <w:sz w:val="24"/>
              </w:rPr>
              <w:t>2023〕72号）；</w:t>
            </w:r>
          </w:p>
          <w:p>
            <w:pPr>
              <w:pStyle w:val="null3"/>
              <w:numPr>
                <w:ilvl w:val="0"/>
                <w:numId w:val="2"/>
              </w:numPr>
              <w:jc w:val="both"/>
            </w:pPr>
            <w:r>
              <w:rPr>
                <w:rFonts w:ascii="宋体" w:hAnsi="宋体" w:cs="宋体" w:eastAsia="宋体"/>
                <w:sz w:val="24"/>
              </w:rPr>
              <w:t>自然资源部关于印发《国土空间调查、规划、用途管制用地用海分类指南》的通知（自资发〔</w:t>
            </w:r>
            <w:r>
              <w:rPr>
                <w:rFonts w:ascii="宋体" w:hAnsi="宋体" w:cs="宋体" w:eastAsia="宋体"/>
                <w:sz w:val="24"/>
              </w:rPr>
              <w:t>2023〕234号）；</w:t>
            </w:r>
          </w:p>
          <w:p>
            <w:pPr>
              <w:pStyle w:val="null3"/>
              <w:numPr>
                <w:ilvl w:val="0"/>
                <w:numId w:val="2"/>
              </w:numPr>
              <w:jc w:val="both"/>
            </w:pPr>
            <w:r>
              <w:rPr>
                <w:rFonts w:ascii="宋体" w:hAnsi="宋体" w:cs="宋体" w:eastAsia="宋体"/>
                <w:sz w:val="24"/>
              </w:rPr>
              <w:t>《城市居住区规划设计标准》</w:t>
            </w:r>
            <w:r>
              <w:rPr>
                <w:rFonts w:ascii="宋体" w:hAnsi="宋体" w:cs="宋体" w:eastAsia="宋体"/>
                <w:sz w:val="24"/>
              </w:rPr>
              <w:t>GB50180-2018；</w:t>
            </w:r>
          </w:p>
          <w:p>
            <w:pPr>
              <w:pStyle w:val="null3"/>
              <w:numPr>
                <w:ilvl w:val="0"/>
                <w:numId w:val="2"/>
              </w:numPr>
              <w:jc w:val="both"/>
            </w:pPr>
            <w:r>
              <w:rPr>
                <w:rFonts w:ascii="宋体" w:hAnsi="宋体" w:cs="宋体" w:eastAsia="宋体"/>
                <w:sz w:val="24"/>
              </w:rPr>
              <w:t>《社区生活圈规划技术指南》（</w:t>
            </w:r>
            <w:r>
              <w:rPr>
                <w:rFonts w:ascii="宋体" w:hAnsi="宋体" w:cs="宋体" w:eastAsia="宋体"/>
                <w:sz w:val="24"/>
              </w:rPr>
              <w:t>TD/T 1062-2021）；</w:t>
            </w:r>
          </w:p>
          <w:p>
            <w:pPr>
              <w:pStyle w:val="null3"/>
              <w:numPr>
                <w:ilvl w:val="0"/>
                <w:numId w:val="2"/>
              </w:numPr>
              <w:jc w:val="both"/>
            </w:pPr>
            <w:r>
              <w:rPr>
                <w:rFonts w:ascii="宋体" w:hAnsi="宋体" w:cs="宋体" w:eastAsia="宋体"/>
                <w:sz w:val="24"/>
              </w:rPr>
              <w:t>《国土空间规划城市设计指南》（</w:t>
            </w:r>
            <w:r>
              <w:rPr>
                <w:rFonts w:ascii="宋体" w:hAnsi="宋体" w:cs="宋体" w:eastAsia="宋体"/>
                <w:sz w:val="24"/>
              </w:rPr>
              <w:t>TD/T 1065-2021）；</w:t>
            </w:r>
          </w:p>
          <w:p>
            <w:pPr>
              <w:pStyle w:val="null3"/>
              <w:numPr>
                <w:ilvl w:val="0"/>
                <w:numId w:val="2"/>
              </w:numPr>
              <w:jc w:val="both"/>
            </w:pPr>
            <w:r>
              <w:rPr>
                <w:rFonts w:ascii="宋体" w:hAnsi="宋体" w:cs="宋体" w:eastAsia="宋体"/>
                <w:sz w:val="24"/>
              </w:rPr>
              <w:t>《陕西省城市规划管理技术规定》（陕建发〔</w:t>
            </w:r>
            <w:r>
              <w:rPr>
                <w:rFonts w:ascii="宋体" w:hAnsi="宋体" w:cs="宋体" w:eastAsia="宋体"/>
                <w:sz w:val="24"/>
              </w:rPr>
              <w:t>2017〕）；</w:t>
            </w:r>
          </w:p>
          <w:p>
            <w:pPr>
              <w:pStyle w:val="null3"/>
              <w:numPr>
                <w:ilvl w:val="0"/>
                <w:numId w:val="2"/>
              </w:numPr>
              <w:jc w:val="both"/>
            </w:pPr>
            <w:r>
              <w:rPr>
                <w:rFonts w:ascii="宋体" w:hAnsi="宋体" w:cs="宋体" w:eastAsia="宋体"/>
                <w:sz w:val="24"/>
              </w:rPr>
              <w:t>其他相关政策文件、技术规范等。</w:t>
            </w:r>
          </w:p>
          <w:p>
            <w:pPr>
              <w:pStyle w:val="null3"/>
              <w:jc w:val="both"/>
            </w:pPr>
            <w:r>
              <w:rPr>
                <w:rFonts w:ascii="宋体" w:hAnsi="宋体" w:cs="宋体" w:eastAsia="宋体"/>
                <w:b/>
                <w:sz w:val="24"/>
              </w:rPr>
              <w:t>六、服务期限：</w:t>
            </w:r>
          </w:p>
          <w:p>
            <w:pPr>
              <w:pStyle w:val="null3"/>
              <w:ind w:firstLine="480"/>
              <w:jc w:val="both"/>
            </w:pPr>
            <w:r>
              <w:rPr>
                <w:rFonts w:ascii="宋体" w:hAnsi="宋体" w:cs="宋体" w:eastAsia="宋体"/>
                <w:sz w:val="24"/>
              </w:rPr>
              <w:t>自合同签订之日起</w:t>
            </w:r>
            <w:r>
              <w:rPr>
                <w:rFonts w:ascii="宋体" w:hAnsi="宋体" w:cs="宋体" w:eastAsia="宋体"/>
                <w:sz w:val="24"/>
              </w:rPr>
              <w:t>12个月内完成</w:t>
            </w:r>
          </w:p>
          <w:p>
            <w:pPr>
              <w:pStyle w:val="null3"/>
              <w:jc w:val="both"/>
            </w:pPr>
            <w:r>
              <w:rPr>
                <w:rFonts w:ascii="宋体" w:hAnsi="宋体" w:cs="宋体" w:eastAsia="宋体"/>
                <w:b/>
                <w:sz w:val="24"/>
              </w:rPr>
              <w:t>七、付款方式：</w:t>
            </w:r>
            <w:r>
              <w:rPr>
                <w:rFonts w:ascii="宋体" w:hAnsi="宋体" w:cs="宋体" w:eastAsia="宋体"/>
                <w:sz w:val="24"/>
              </w:rPr>
              <w:t>分三次支付项目款</w:t>
            </w:r>
          </w:p>
          <w:p>
            <w:pPr>
              <w:pStyle w:val="null3"/>
              <w:ind w:firstLine="480"/>
              <w:jc w:val="both"/>
            </w:pPr>
            <w:r>
              <w:rPr>
                <w:rFonts w:ascii="宋体" w:hAnsi="宋体" w:cs="宋体" w:eastAsia="宋体"/>
                <w:sz w:val="24"/>
              </w:rPr>
              <w:t>第一次：自合同签订之日起</w:t>
            </w:r>
            <w:r>
              <w:rPr>
                <w:rFonts w:ascii="宋体" w:hAnsi="宋体" w:cs="宋体" w:eastAsia="宋体"/>
                <w:sz w:val="24"/>
              </w:rPr>
              <w:t>7日内，甲方向乙方支付合同总金额40%的费用，作为项目启动费；</w:t>
            </w:r>
          </w:p>
          <w:p>
            <w:pPr>
              <w:pStyle w:val="null3"/>
              <w:ind w:firstLine="480"/>
              <w:jc w:val="both"/>
            </w:pPr>
            <w:r>
              <w:rPr>
                <w:rFonts w:ascii="宋体" w:hAnsi="宋体" w:cs="宋体" w:eastAsia="宋体"/>
                <w:sz w:val="24"/>
              </w:rPr>
              <w:t>第二次：形成初步成果并通过专家审查后</w:t>
            </w:r>
            <w:r>
              <w:rPr>
                <w:rFonts w:ascii="宋体" w:hAnsi="宋体" w:cs="宋体" w:eastAsia="宋体"/>
                <w:sz w:val="24"/>
              </w:rPr>
              <w:t>7个工作日内，甲方向乙方支付合同总金额40%的费用；</w:t>
            </w:r>
          </w:p>
          <w:p>
            <w:pPr>
              <w:pStyle w:val="null3"/>
              <w:ind w:firstLine="480"/>
              <w:jc w:val="both"/>
            </w:pPr>
            <w:r>
              <w:rPr>
                <w:rFonts w:ascii="宋体" w:hAnsi="宋体" w:cs="宋体" w:eastAsia="宋体"/>
                <w:sz w:val="24"/>
              </w:rPr>
              <w:t>第三次：形成报批成果并通过专家审查后</w:t>
            </w:r>
            <w:r>
              <w:rPr>
                <w:rFonts w:ascii="宋体" w:hAnsi="宋体" w:cs="宋体" w:eastAsia="宋体"/>
                <w:sz w:val="24"/>
              </w:rPr>
              <w:t>7个工作日内，甲方向乙方支付合同总金额20%的费用。</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标的名称：铜川市中心城区国土空间详细规划（单元+重点地块）编制项目（ 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855"/>
              <w:jc w:val="both"/>
            </w:pPr>
            <w:r>
              <w:rPr>
                <w:rFonts w:ascii="宋体" w:hAnsi="宋体" w:cs="宋体" w:eastAsia="宋体"/>
                <w:b/>
                <w:sz w:val="24"/>
              </w:rPr>
              <w:t>采购需求</w:t>
            </w:r>
          </w:p>
          <w:p>
            <w:pPr>
              <w:pStyle w:val="null3"/>
              <w:ind w:firstLine="482"/>
              <w:jc w:val="left"/>
            </w:pPr>
            <w:r>
              <w:rPr>
                <w:rFonts w:ascii="宋体" w:hAnsi="宋体" w:cs="宋体" w:eastAsia="宋体"/>
                <w:b/>
                <w:sz w:val="24"/>
                <w:shd w:fill="FFFFFF" w:val="clear"/>
              </w:rPr>
              <w:t>一、</w:t>
            </w:r>
            <w:r>
              <w:rPr>
                <w:rFonts w:ascii="宋体" w:hAnsi="宋体" w:cs="宋体" w:eastAsia="宋体"/>
                <w:b/>
                <w:sz w:val="24"/>
                <w:shd w:fill="FFFFFF" w:val="clear"/>
              </w:rPr>
              <w:t>基本概况</w:t>
            </w:r>
          </w:p>
          <w:p>
            <w:pPr>
              <w:pStyle w:val="null3"/>
              <w:ind w:firstLine="480"/>
              <w:jc w:val="left"/>
            </w:pPr>
            <w:r>
              <w:rPr>
                <w:rFonts w:ascii="宋体" w:hAnsi="宋体" w:cs="宋体" w:eastAsia="宋体"/>
                <w:sz w:val="24"/>
              </w:rPr>
              <w:t>为进一步规范铜川市国土空间详细规划编制工作，提升铜川市规划管理水平、推动铜川高质量发展，对铜川市国土空间详细规划项目质量、工作进度、研究深度进行监督和审查，并从规划管理角度做好组织协调工作，特开展铜川市国土空间详细规划监理项目。</w:t>
            </w:r>
          </w:p>
          <w:p>
            <w:pPr>
              <w:pStyle w:val="null3"/>
              <w:ind w:firstLine="482"/>
              <w:jc w:val="left"/>
            </w:pPr>
            <w:r>
              <w:rPr>
                <w:rFonts w:ascii="宋体" w:hAnsi="宋体" w:cs="宋体" w:eastAsia="宋体"/>
                <w:b/>
                <w:sz w:val="24"/>
                <w:shd w:fill="FFFFFF" w:val="clear"/>
              </w:rPr>
              <w:t>二、服务内容</w:t>
            </w:r>
          </w:p>
          <w:p>
            <w:pPr>
              <w:pStyle w:val="null3"/>
              <w:ind w:firstLine="480"/>
              <w:jc w:val="left"/>
            </w:pPr>
            <w:r>
              <w:rPr>
                <w:rFonts w:ascii="宋体" w:hAnsi="宋体" w:cs="宋体" w:eastAsia="宋体"/>
                <w:sz w:val="24"/>
                <w:shd w:fill="FFFFFF" w:val="clear"/>
              </w:rPr>
              <w:t>本次铜川市国土空间详细规划监理工作，通过伴随式技术咨询框架，面向规划实施提供全程规划监理服务，做到</w:t>
            </w:r>
            <w:r>
              <w:rPr>
                <w:rFonts w:ascii="宋体" w:hAnsi="宋体" w:cs="宋体" w:eastAsia="宋体"/>
                <w:sz w:val="24"/>
                <w:shd w:fill="FFFFFF" w:val="clear"/>
              </w:rPr>
              <w:t>“专业团队负责专业工作”，为规划管理工作提供技术支撑，以推进行政管理与技术团队融合，提升规划管理水平，规范城市规划实施工作，确保规划蓝图实践落地。该项目工作内容包括：</w:t>
            </w:r>
          </w:p>
          <w:p>
            <w:pPr>
              <w:pStyle w:val="null3"/>
              <w:ind w:firstLine="640"/>
              <w:jc w:val="both"/>
            </w:pPr>
            <w:r>
              <w:rPr>
                <w:rFonts w:ascii="宋体" w:hAnsi="宋体" w:cs="宋体" w:eastAsia="宋体"/>
                <w:sz w:val="24"/>
              </w:rPr>
              <w:t>1. 质量控制：依据合同要求和有关技术标准，审查、监督、控制本项目成果质量，并提出各项工作的改进意见。制定项目的验收标准、验收方法，协助业主单位进行规划方案的审核和确认。</w:t>
            </w:r>
          </w:p>
          <w:p>
            <w:pPr>
              <w:pStyle w:val="null3"/>
              <w:ind w:firstLine="640"/>
              <w:jc w:val="both"/>
            </w:pPr>
            <w:r>
              <w:rPr>
                <w:rFonts w:ascii="宋体" w:hAnsi="宋体" w:cs="宋体" w:eastAsia="宋体"/>
                <w:sz w:val="24"/>
              </w:rPr>
              <w:t>2. 进度控制：审核规划单位的进度分解计划，对项目实施进度进行实时跟踪，监督检查项目进度执行情况，并对进度计划进行动态调整。当进度严重偏离计划时，应及时指出，并提出对策建议，以确保项目阶段和总体进度目标的实施。</w:t>
            </w:r>
          </w:p>
          <w:p>
            <w:pPr>
              <w:pStyle w:val="null3"/>
              <w:ind w:firstLine="640"/>
              <w:jc w:val="both"/>
            </w:pPr>
            <w:r>
              <w:rPr>
                <w:rFonts w:ascii="宋体" w:hAnsi="宋体" w:cs="宋体" w:eastAsia="宋体"/>
                <w:sz w:val="24"/>
              </w:rPr>
              <w:t>3.组织协调：监督各方履行职责，协调各方的工作关系。建立畅通的沟通平台和沟通渠道，采取有效措施使项目信息在有关各方之间保持流通，积极协调项目各方之间的关系，推动项目实施过程中问题的解决。</w:t>
            </w:r>
          </w:p>
          <w:p>
            <w:pPr>
              <w:pStyle w:val="null3"/>
              <w:ind w:firstLine="640"/>
              <w:jc w:val="both"/>
            </w:pPr>
            <w:r>
              <w:rPr>
                <w:rFonts w:ascii="宋体" w:hAnsi="宋体" w:cs="宋体" w:eastAsia="宋体"/>
                <w:sz w:val="24"/>
              </w:rPr>
              <w:t>4.服务考核：制定严格的服务质量考核方法与考核细则，对各编制团队的工作质量进行评价考核监督。考核细则应包括考核的具体内容、评分标准、考评程序、不符合考核的处罚等，经双方签署后执行。</w:t>
            </w:r>
          </w:p>
          <w:p>
            <w:pPr>
              <w:pStyle w:val="null3"/>
              <w:ind w:firstLine="480"/>
              <w:jc w:val="both"/>
            </w:pPr>
            <w:r>
              <w:rPr>
                <w:rFonts w:ascii="宋体" w:hAnsi="宋体" w:cs="宋体" w:eastAsia="宋体"/>
                <w:sz w:val="24"/>
              </w:rPr>
              <w:t>三、成果文件：</w:t>
            </w:r>
          </w:p>
          <w:p>
            <w:pPr>
              <w:pStyle w:val="null3"/>
              <w:ind w:right="-195" w:firstLine="480"/>
              <w:jc w:val="both"/>
            </w:pPr>
            <w:r>
              <w:rPr>
                <w:rFonts w:ascii="宋体" w:hAnsi="宋体" w:cs="宋体" w:eastAsia="宋体"/>
                <w:sz w:val="24"/>
              </w:rPr>
              <w:t>按照采购人要求提交相关成果文件及文件份数。</w:t>
            </w:r>
          </w:p>
          <w:p>
            <w:pPr>
              <w:pStyle w:val="null3"/>
              <w:ind w:firstLine="480"/>
              <w:jc w:val="both"/>
            </w:pPr>
            <w:r>
              <w:rPr>
                <w:rFonts w:ascii="宋体" w:hAnsi="宋体" w:cs="宋体" w:eastAsia="宋体"/>
                <w:sz w:val="24"/>
              </w:rPr>
              <w:t>四、服务期限：</w:t>
            </w:r>
          </w:p>
          <w:p>
            <w:pPr>
              <w:pStyle w:val="null3"/>
              <w:ind w:firstLine="480"/>
              <w:jc w:val="both"/>
            </w:pPr>
            <w:r>
              <w:rPr>
                <w:rFonts w:ascii="宋体" w:hAnsi="宋体" w:cs="宋体" w:eastAsia="宋体"/>
                <w:sz w:val="24"/>
              </w:rPr>
              <w:t>从合同签订起至</w:t>
            </w:r>
            <w:r>
              <w:rPr>
                <w:rFonts w:ascii="宋体" w:hAnsi="宋体" w:cs="宋体" w:eastAsia="宋体"/>
                <w:sz w:val="24"/>
              </w:rPr>
              <w:t>铜川市国土空间详细规划</w:t>
            </w:r>
            <w:r>
              <w:rPr>
                <w:rFonts w:ascii="宋体" w:hAnsi="宋体" w:cs="宋体" w:eastAsia="宋体"/>
                <w:sz w:val="24"/>
              </w:rPr>
              <w:t>项目通过最终验收及报批之日止。</w:t>
            </w:r>
          </w:p>
          <w:p>
            <w:pPr>
              <w:pStyle w:val="null3"/>
              <w:ind w:firstLine="480"/>
              <w:jc w:val="left"/>
            </w:pPr>
            <w:r>
              <w:rPr>
                <w:rFonts w:ascii="宋体" w:hAnsi="宋体" w:cs="宋体" w:eastAsia="宋体"/>
                <w:sz w:val="24"/>
              </w:rPr>
              <w:t>五、技术要求</w:t>
            </w:r>
          </w:p>
          <w:p>
            <w:pPr>
              <w:pStyle w:val="null3"/>
              <w:ind w:firstLine="723"/>
              <w:jc w:val="both"/>
            </w:pPr>
            <w:r>
              <w:rPr>
                <w:rFonts w:ascii="宋体" w:hAnsi="宋体" w:cs="宋体" w:eastAsia="宋体"/>
                <w:b/>
                <w:sz w:val="24"/>
              </w:rPr>
              <w:t>1. 基本要求</w:t>
            </w:r>
          </w:p>
          <w:p>
            <w:pPr>
              <w:pStyle w:val="null3"/>
              <w:ind w:firstLine="480"/>
              <w:jc w:val="both"/>
            </w:pPr>
            <w:r>
              <w:rPr>
                <w:rFonts w:ascii="宋体" w:hAnsi="宋体" w:cs="宋体" w:eastAsia="宋体"/>
                <w:sz w:val="24"/>
              </w:rPr>
              <w:t>（</w:t>
            </w:r>
            <w:r>
              <w:rPr>
                <w:rFonts w:ascii="宋体" w:hAnsi="宋体" w:cs="宋体" w:eastAsia="宋体"/>
                <w:sz w:val="24"/>
              </w:rPr>
              <w:t>1）监理单位应具有履行合同所必需的专业技术力量和人力资源保证，能在采购人所要求的时间内完成监理工作一级技术支持服务工作。</w:t>
            </w:r>
          </w:p>
          <w:p>
            <w:pPr>
              <w:pStyle w:val="null3"/>
              <w:ind w:firstLine="480"/>
              <w:jc w:val="both"/>
            </w:pPr>
            <w:r>
              <w:rPr>
                <w:rFonts w:ascii="宋体" w:hAnsi="宋体" w:cs="宋体" w:eastAsia="宋体"/>
                <w:sz w:val="24"/>
              </w:rPr>
              <w:t>（</w:t>
            </w:r>
            <w:r>
              <w:rPr>
                <w:rFonts w:ascii="宋体" w:hAnsi="宋体" w:cs="宋体" w:eastAsia="宋体"/>
                <w:sz w:val="24"/>
              </w:rPr>
              <w:t>2）监理单位能针对本项目的监理内容及监理要求提供项目工作方案和详细、合理的监理实施方案。</w:t>
            </w:r>
          </w:p>
          <w:p>
            <w:pPr>
              <w:pStyle w:val="null3"/>
              <w:jc w:val="both"/>
            </w:pPr>
            <w:r>
              <w:rPr>
                <w:rFonts w:ascii="&quot;times new roman&quot;" w:hAnsi="&quot;times new roman&quot;" w:cs="&quot;times new roman&quot;" w:eastAsia="&quot;times new roman&quot;"/>
                <w:sz w:val="21"/>
              </w:rPr>
              <w:t xml:space="preserve">      </w:t>
            </w:r>
            <w:r>
              <w:rPr>
                <w:rFonts w:ascii="宋体" w:hAnsi="宋体" w:cs="宋体" w:eastAsia="宋体"/>
                <w:sz w:val="24"/>
              </w:rPr>
              <w:t>（</w:t>
            </w:r>
            <w:r>
              <w:rPr>
                <w:rFonts w:ascii="宋体" w:hAnsi="宋体" w:cs="宋体" w:eastAsia="宋体"/>
                <w:sz w:val="24"/>
              </w:rPr>
              <w:t>3）监理单位应对项目有关情况保密，若因监理单位管理、工作人员责任心等原因造成用户建设信息或资料外泄，由此产生的全部经济赔偿责任与相关法律责任由监理单位负责。</w:t>
            </w:r>
          </w:p>
          <w:p>
            <w:pPr>
              <w:pStyle w:val="null3"/>
              <w:ind w:firstLine="482"/>
              <w:jc w:val="both"/>
            </w:pPr>
            <w:r>
              <w:rPr>
                <w:rFonts w:ascii="宋体" w:hAnsi="宋体" w:cs="宋体" w:eastAsia="宋体"/>
                <w:b/>
                <w:sz w:val="24"/>
              </w:rPr>
              <w:t>2. 对监理机构管理架构要求</w:t>
            </w:r>
          </w:p>
          <w:p>
            <w:pPr>
              <w:pStyle w:val="null3"/>
              <w:ind w:firstLine="480"/>
              <w:jc w:val="both"/>
            </w:pPr>
            <w:r>
              <w:rPr>
                <w:rFonts w:ascii="宋体" w:hAnsi="宋体" w:cs="宋体" w:eastAsia="宋体"/>
                <w:sz w:val="24"/>
              </w:rPr>
              <w:t>监理单位应建立项目监理组，实行总监理师负责制，对项目重大决策提出建议和意见，并由总监理工程师负责。</w:t>
            </w:r>
          </w:p>
          <w:p>
            <w:pPr>
              <w:pStyle w:val="null3"/>
              <w:ind w:firstLine="482"/>
              <w:jc w:val="both"/>
            </w:pPr>
            <w:r>
              <w:rPr>
                <w:rFonts w:ascii="宋体" w:hAnsi="宋体" w:cs="宋体" w:eastAsia="宋体"/>
                <w:b/>
                <w:sz w:val="24"/>
              </w:rPr>
              <w:t>3</w:t>
            </w:r>
            <w:r>
              <w:rPr>
                <w:rFonts w:ascii="宋体" w:hAnsi="宋体" w:cs="宋体" w:eastAsia="宋体"/>
                <w:b/>
                <w:sz w:val="24"/>
              </w:rPr>
              <w:t>. 设施设备配置要求</w:t>
            </w:r>
          </w:p>
          <w:p>
            <w:pPr>
              <w:pStyle w:val="null3"/>
              <w:ind w:firstLine="480"/>
              <w:jc w:val="both"/>
            </w:pPr>
            <w:r>
              <w:rPr>
                <w:rFonts w:ascii="宋体" w:hAnsi="宋体" w:cs="宋体" w:eastAsia="宋体"/>
                <w:sz w:val="24"/>
              </w:rPr>
              <w:t>监理单位具有必要的软硬件设施，须具有能完成本项目所需的设施设备，保证能正常的开展监理工作。</w:t>
            </w:r>
          </w:p>
          <w:p>
            <w:pPr>
              <w:pStyle w:val="null3"/>
              <w:ind w:firstLine="480"/>
              <w:jc w:val="left"/>
            </w:pPr>
            <w:r>
              <w:rPr>
                <w:rFonts w:ascii="宋体" w:hAnsi="宋体" w:cs="宋体" w:eastAsia="宋体"/>
                <w:sz w:val="24"/>
              </w:rPr>
              <w:t>六、付款方式</w:t>
            </w:r>
          </w:p>
          <w:p>
            <w:pPr>
              <w:pStyle w:val="null3"/>
              <w:ind w:right="-195" w:firstLine="480"/>
              <w:jc w:val="both"/>
            </w:pPr>
            <w:r>
              <w:rPr>
                <w:rFonts w:ascii="宋体" w:hAnsi="宋体" w:cs="宋体" w:eastAsia="宋体"/>
                <w:sz w:val="24"/>
              </w:rPr>
              <w:t>1、付款方式：</w:t>
            </w:r>
          </w:p>
          <w:p>
            <w:pPr>
              <w:pStyle w:val="null3"/>
              <w:ind w:right="-195" w:firstLine="480"/>
              <w:jc w:val="both"/>
            </w:pPr>
            <w:r>
              <w:rPr>
                <w:rFonts w:ascii="宋体" w:hAnsi="宋体" w:cs="宋体" w:eastAsia="宋体"/>
                <w:sz w:val="24"/>
              </w:rPr>
              <w:t>（</w:t>
            </w:r>
            <w:r>
              <w:rPr>
                <w:rFonts w:ascii="宋体" w:hAnsi="宋体" w:cs="宋体" w:eastAsia="宋体"/>
                <w:sz w:val="24"/>
              </w:rPr>
              <w:t>1）合同签订后</w:t>
            </w:r>
            <w:r>
              <w:rPr>
                <w:rFonts w:ascii="宋体" w:hAnsi="宋体" w:cs="宋体" w:eastAsia="宋体"/>
                <w:sz w:val="24"/>
              </w:rPr>
              <w:t>15个日历天，</w:t>
            </w:r>
            <w:r>
              <w:rPr>
                <w:rFonts w:ascii="宋体" w:hAnsi="宋体" w:cs="宋体" w:eastAsia="宋体"/>
                <w:sz w:val="24"/>
              </w:rPr>
              <w:t>甲方向乙方支付总合同价的</w:t>
            </w:r>
            <w:r>
              <w:rPr>
                <w:rFonts w:ascii="宋体" w:hAnsi="宋体" w:cs="宋体" w:eastAsia="宋体"/>
                <w:sz w:val="24"/>
              </w:rPr>
              <w:t>50</w:t>
            </w:r>
            <w:r>
              <w:rPr>
                <w:rFonts w:ascii="宋体" w:hAnsi="宋体" w:cs="宋体" w:eastAsia="宋体"/>
                <w:sz w:val="24"/>
              </w:rPr>
              <w:t>%。</w:t>
            </w:r>
          </w:p>
          <w:p>
            <w:pPr>
              <w:pStyle w:val="null3"/>
              <w:ind w:right="-195" w:firstLine="480"/>
              <w:jc w:val="both"/>
            </w:pPr>
            <w:r>
              <w:rPr>
                <w:rFonts w:ascii="宋体" w:hAnsi="宋体" w:cs="宋体" w:eastAsia="宋体"/>
                <w:sz w:val="24"/>
              </w:rPr>
              <w:t>（</w:t>
            </w:r>
            <w:r>
              <w:rPr>
                <w:rFonts w:ascii="宋体" w:hAnsi="宋体" w:cs="宋体" w:eastAsia="宋体"/>
                <w:sz w:val="24"/>
              </w:rPr>
              <w:t>2）乙方监理的项目通过专家评审后</w:t>
            </w:r>
            <w:r>
              <w:rPr>
                <w:rFonts w:ascii="宋体" w:hAnsi="宋体" w:cs="宋体" w:eastAsia="宋体"/>
                <w:sz w:val="24"/>
              </w:rPr>
              <w:t>15个日历天，</w:t>
            </w:r>
            <w:r>
              <w:rPr>
                <w:rFonts w:ascii="宋体" w:hAnsi="宋体" w:cs="宋体" w:eastAsia="宋体"/>
                <w:sz w:val="24"/>
              </w:rPr>
              <w:t>甲方向乙方支付总合同价的</w:t>
            </w:r>
            <w:r>
              <w:rPr>
                <w:rFonts w:ascii="宋体" w:hAnsi="宋体" w:cs="宋体" w:eastAsia="宋体"/>
                <w:sz w:val="24"/>
              </w:rPr>
              <w:t>5</w:t>
            </w:r>
            <w:r>
              <w:rPr>
                <w:rFonts w:ascii="宋体" w:hAnsi="宋体" w:cs="宋体" w:eastAsia="宋体"/>
                <w:sz w:val="24"/>
              </w:rPr>
              <w:t>0%。</w:t>
            </w:r>
          </w:p>
          <w:p>
            <w:pPr>
              <w:pStyle w:val="null3"/>
              <w:ind w:right="-195" w:firstLine="480"/>
              <w:jc w:val="both"/>
            </w:pPr>
            <w:r>
              <w:rPr>
                <w:rFonts w:ascii="宋体" w:hAnsi="宋体" w:cs="宋体" w:eastAsia="宋体"/>
                <w:sz w:val="24"/>
              </w:rPr>
              <w:t>注：</w:t>
            </w:r>
            <w:r>
              <w:rPr>
                <w:rFonts w:ascii="宋体" w:hAnsi="宋体" w:cs="宋体" w:eastAsia="宋体"/>
                <w:sz w:val="24"/>
              </w:rPr>
              <w:t>付款</w:t>
            </w:r>
            <w:r>
              <w:rPr>
                <w:rFonts w:ascii="宋体" w:hAnsi="宋体" w:cs="宋体" w:eastAsia="宋体"/>
                <w:sz w:val="24"/>
              </w:rPr>
              <w:t>前需提供</w:t>
            </w:r>
            <w:r>
              <w:rPr>
                <w:rFonts w:ascii="宋体" w:hAnsi="宋体" w:cs="宋体" w:eastAsia="宋体"/>
                <w:sz w:val="24"/>
              </w:rPr>
              <w:t>监理单位的成果资料、发票。</w:t>
            </w:r>
          </w:p>
        </w:tc>
      </w:tr>
    </w:tbl>
    <w:p>
      <w:pPr>
        <w:pStyle w:val="null3"/>
        <w:outlineLvl w:val="3"/>
      </w:pPr>
      <w:r>
        <w:rPr>
          <w:b/>
          <w:sz w:val="24"/>
        </w:rPr>
        <w:t>3.2.3人员配置要求</w:t>
      </w:r>
    </w:p>
    <w:p>
      <w:pPr>
        <w:pStyle w:val="null3"/>
      </w:pPr>
      <w:r>
        <w:rPr/>
        <w:t>采购包1：</w:t>
      </w:r>
    </w:p>
    <w:p>
      <w:pPr>
        <w:pStyle w:val="null3"/>
      </w:pPr>
      <w:r>
        <w:rPr/>
        <w:t>详见评标办法，评审细则及标准。</w:t>
      </w:r>
    </w:p>
    <w:p>
      <w:pPr>
        <w:pStyle w:val="null3"/>
      </w:pPr>
      <w:r>
        <w:rPr/>
        <w:t>采购包2：</w:t>
      </w:r>
    </w:p>
    <w:p>
      <w:pPr>
        <w:pStyle w:val="null3"/>
      </w:pPr>
      <w:r>
        <w:rPr/>
        <w:t>详见评标办法，评审细则及标准。</w:t>
      </w:r>
    </w:p>
    <w:p>
      <w:pPr>
        <w:pStyle w:val="null3"/>
      </w:pPr>
      <w:r>
        <w:rPr/>
        <w:t>采购包3：</w:t>
      </w:r>
    </w:p>
    <w:p>
      <w:pPr>
        <w:pStyle w:val="null3"/>
      </w:pPr>
      <w:r>
        <w:rPr/>
        <w:t>详见评标办法，评审细则及标准。</w:t>
      </w:r>
    </w:p>
    <w:p>
      <w:pPr>
        <w:pStyle w:val="null3"/>
        <w:outlineLvl w:val="3"/>
      </w:pPr>
      <w:r>
        <w:rPr>
          <w:b/>
          <w:sz w:val="24"/>
        </w:rPr>
        <w:t>3.2.4设施设备配置要求</w:t>
      </w:r>
    </w:p>
    <w:p>
      <w:pPr>
        <w:pStyle w:val="null3"/>
      </w:pPr>
      <w:r>
        <w:rPr/>
        <w:t>采购包1：</w:t>
      </w:r>
    </w:p>
    <w:p>
      <w:pPr>
        <w:pStyle w:val="null3"/>
      </w:pPr>
      <w:r>
        <w:rPr/>
        <w:t>详见评标办法，评审细则及标准。</w:t>
      </w:r>
    </w:p>
    <w:p>
      <w:pPr>
        <w:pStyle w:val="null3"/>
      </w:pPr>
      <w:r>
        <w:rPr/>
        <w:t>采购包2：</w:t>
      </w:r>
    </w:p>
    <w:p>
      <w:pPr>
        <w:pStyle w:val="null3"/>
      </w:pPr>
      <w:r>
        <w:rPr/>
        <w:t>详见评标办法，评审细则及标准。</w:t>
      </w:r>
    </w:p>
    <w:p>
      <w:pPr>
        <w:pStyle w:val="null3"/>
      </w:pPr>
      <w:r>
        <w:rPr/>
        <w:t>采购包3：</w:t>
      </w:r>
    </w:p>
    <w:p>
      <w:pPr>
        <w:pStyle w:val="null3"/>
      </w:pPr>
      <w:r>
        <w:rPr/>
        <w:t>详见评标办法，评审细则及标准。</w:t>
      </w:r>
    </w:p>
    <w:p>
      <w:pPr>
        <w:pStyle w:val="null3"/>
        <w:outlineLvl w:val="3"/>
      </w:pPr>
      <w:r>
        <w:rPr>
          <w:b/>
          <w:sz w:val="24"/>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自合同签订之日起至2024年10月底，数据库更新及维护服务期限为3年。</w:t>
      </w:r>
    </w:p>
    <w:p>
      <w:pPr>
        <w:pStyle w:val="null3"/>
      </w:pPr>
      <w:r>
        <w:rPr/>
        <w:t>采购包2：</w:t>
      </w:r>
    </w:p>
    <w:p>
      <w:pPr>
        <w:pStyle w:val="null3"/>
      </w:pPr>
      <w:r>
        <w:rPr/>
        <w:t>自合同签订之日起12个月内完成。</w:t>
      </w:r>
    </w:p>
    <w:p>
      <w:pPr>
        <w:pStyle w:val="null3"/>
      </w:pPr>
      <w:r>
        <w:rPr/>
        <w:t>采购包3：</w:t>
      </w:r>
    </w:p>
    <w:p>
      <w:pPr>
        <w:pStyle w:val="null3"/>
      </w:pPr>
      <w:r>
        <w:rPr/>
        <w:t>自合同签订起至铜川市国土空间详细规划项目通过最终验收及报批之日止。</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以甲乙双方实际签订合同为准</w:t>
      </w:r>
    </w:p>
    <w:p>
      <w:pPr>
        <w:pStyle w:val="null3"/>
      </w:pPr>
      <w:r>
        <w:rPr/>
        <w:t>采购包2：</w:t>
      </w:r>
    </w:p>
    <w:p>
      <w:pPr>
        <w:pStyle w:val="null3"/>
      </w:pPr>
      <w:r>
        <w:rPr/>
        <w:t>以甲乙双方实际签订合同为准</w:t>
      </w:r>
    </w:p>
    <w:p>
      <w:pPr>
        <w:pStyle w:val="null3"/>
      </w:pPr>
      <w:r>
        <w:rPr/>
        <w:t>采购包3：</w:t>
      </w:r>
    </w:p>
    <w:p>
      <w:pPr>
        <w:pStyle w:val="null3"/>
      </w:pPr>
      <w:r>
        <w:rPr/>
        <w:t>以甲乙双方实际签订合同为准</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自合同签订之日起</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形成初步成果并通过专家审查后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形成报批成果并通过专家审查后</w:t>
      </w:r>
      <w:r>
        <w:rPr/>
        <w:t xml:space="preserve"> ，达到付款条件起 </w:t>
      </w:r>
      <w:r>
        <w:rPr/>
        <w:t>7</w:t>
      </w:r>
      <w:r>
        <w:rPr/>
        <w:t xml:space="preserve"> 日内，支付合同总金额的 </w:t>
      </w:r>
      <w:r>
        <w:rPr/>
        <w:t>20.00</w:t>
      </w:r>
      <w:r>
        <w:rPr/>
        <w:t>%。</w:t>
      </w:r>
    </w:p>
    <w:p>
      <w:pPr>
        <w:pStyle w:val="null3"/>
      </w:pPr>
      <w:r>
        <w:rPr/>
        <w:t>采购包2：</w:t>
      </w:r>
      <w:r>
        <w:rPr/>
        <w:t xml:space="preserve"> 付款条件说明： </w:t>
      </w:r>
      <w:r>
        <w:rPr/>
        <w:t>自合同签订之日起</w:t>
      </w:r>
      <w:r>
        <w:rPr/>
        <w:t xml:space="preserve"> ，达到付款条件起 </w:t>
      </w:r>
      <w:r>
        <w:rPr/>
        <w:t>7</w:t>
      </w:r>
      <w:r>
        <w:rPr/>
        <w:t xml:space="preserve"> 日内，支付合同总金额的 </w:t>
      </w:r>
      <w:r>
        <w:rPr/>
        <w:t>40.00</w:t>
      </w:r>
      <w:r>
        <w:rPr/>
        <w:t>%。</w:t>
      </w:r>
    </w:p>
    <w:p>
      <w:pPr>
        <w:pStyle w:val="null3"/>
      </w:pPr>
      <w:r>
        <w:rPr/>
        <w:t>采购包2：</w:t>
      </w:r>
      <w:r>
        <w:rPr/>
        <w:t xml:space="preserve"> 付款条件说明： </w:t>
      </w:r>
      <w:r>
        <w:rPr/>
        <w:t>形成初步成果并通过专家审查后</w:t>
      </w:r>
      <w:r>
        <w:rPr/>
        <w:t xml:space="preserve"> ，达到付款条件起 </w:t>
      </w:r>
      <w:r>
        <w:rPr/>
        <w:t>7</w:t>
      </w:r>
      <w:r>
        <w:rPr/>
        <w:t xml:space="preserve"> 日内，支付合同总金额的 </w:t>
      </w:r>
      <w:r>
        <w:rPr/>
        <w:t>40.00</w:t>
      </w:r>
      <w:r>
        <w:rPr/>
        <w:t>%。</w:t>
      </w:r>
    </w:p>
    <w:p>
      <w:pPr>
        <w:pStyle w:val="null3"/>
      </w:pPr>
      <w:r>
        <w:rPr/>
        <w:t>采购包2：</w:t>
      </w:r>
      <w:r>
        <w:rPr/>
        <w:t xml:space="preserve"> 付款条件说明： </w:t>
      </w:r>
      <w:r>
        <w:rPr/>
        <w:t>形成报批成果并通过专家审查后</w:t>
      </w:r>
      <w:r>
        <w:rPr/>
        <w:t xml:space="preserve"> ，达到付款条件起 </w:t>
      </w:r>
      <w:r>
        <w:rPr/>
        <w:t>7</w:t>
      </w:r>
      <w:r>
        <w:rPr/>
        <w:t xml:space="preserve"> 日内，支付合同总金额的 </w:t>
      </w:r>
      <w:r>
        <w:rPr/>
        <w:t>20.00</w:t>
      </w:r>
      <w:r>
        <w:rPr/>
        <w:t>%。</w:t>
      </w:r>
    </w:p>
    <w:p>
      <w:pPr>
        <w:pStyle w:val="null3"/>
      </w:pPr>
      <w:r>
        <w:rPr/>
        <w:t>采购包3：</w:t>
      </w:r>
      <w:r>
        <w:rPr/>
        <w:t xml:space="preserve"> 付款条件说明： </w:t>
      </w:r>
      <w:r>
        <w:rPr/>
        <w:t>合同签订后</w:t>
      </w:r>
      <w:r>
        <w:rPr/>
        <w:t xml:space="preserve"> ，达到付款条件起 </w:t>
      </w:r>
      <w:r>
        <w:rPr/>
        <w:t>15</w:t>
      </w:r>
      <w:r>
        <w:rPr/>
        <w:t xml:space="preserve"> 日内，支付合同总金额的 </w:t>
      </w:r>
      <w:r>
        <w:rPr/>
        <w:t>50.00</w:t>
      </w:r>
      <w:r>
        <w:rPr/>
        <w:t>%。</w:t>
      </w:r>
    </w:p>
    <w:p>
      <w:pPr>
        <w:pStyle w:val="null3"/>
      </w:pPr>
      <w:r>
        <w:rPr/>
        <w:t>采购包3：</w:t>
      </w:r>
      <w:r>
        <w:rPr/>
        <w:t xml:space="preserve"> 付款条件说明： </w:t>
      </w:r>
      <w:r>
        <w:rPr/>
        <w:t>乙方监理的项目通过专家评审后</w:t>
      </w:r>
      <w:r>
        <w:rPr/>
        <w:t xml:space="preserve"> ，达到付款条件起 </w:t>
      </w:r>
      <w:r>
        <w:rPr/>
        <w:t>15</w:t>
      </w:r>
      <w:r>
        <w:rPr/>
        <w:t xml:space="preserve"> 日内，支付合同总金额的 </w:t>
      </w:r>
      <w:r>
        <w:rPr/>
        <w:t>50.00</w:t>
      </w:r>
      <w:r>
        <w:rPr/>
        <w:t>%。</w:t>
      </w:r>
    </w:p>
    <w:p>
      <w:pPr>
        <w:pStyle w:val="null3"/>
        <w:outlineLvl w:val="3"/>
      </w:pPr>
      <w:r>
        <w:rPr>
          <w:b/>
          <w:sz w:val="24"/>
        </w:rPr>
        <w:t>3.3.6违约责任与解决争议的方法</w:t>
      </w:r>
    </w:p>
    <w:p>
      <w:pPr>
        <w:pStyle w:val="null3"/>
      </w:pPr>
      <w:r>
        <w:rPr/>
        <w:t>采购包1：</w:t>
      </w:r>
    </w:p>
    <w:p>
      <w:pPr>
        <w:pStyle w:val="null3"/>
      </w:pPr>
      <w:r>
        <w:rPr/>
        <w:t>详见合同附件</w:t>
      </w:r>
    </w:p>
    <w:p>
      <w:pPr>
        <w:pStyle w:val="null3"/>
      </w:pPr>
      <w:r>
        <w:rPr/>
        <w:t>采购包2：</w:t>
      </w:r>
    </w:p>
    <w:p>
      <w:pPr>
        <w:pStyle w:val="null3"/>
      </w:pPr>
      <w:r>
        <w:rPr/>
        <w:t>详见合同附件</w:t>
      </w:r>
    </w:p>
    <w:p>
      <w:pPr>
        <w:pStyle w:val="null3"/>
      </w:pPr>
      <w:r>
        <w:rPr/>
        <w:t>采购包3：</w:t>
      </w:r>
    </w:p>
    <w:p>
      <w:pPr>
        <w:pStyle w:val="null3"/>
      </w:pPr>
      <w:r>
        <w:rPr/>
        <w:t>详见合同附件</w:t>
      </w:r>
    </w:p>
    <w:p>
      <w:pPr>
        <w:pStyle w:val="null3"/>
        <w:jc w:val="left"/>
        <w:outlineLvl w:val="2"/>
      </w:pPr>
      <w:r>
        <w:rPr>
          <w:b/>
          <w:sz w:val="28"/>
        </w:rPr>
        <w:t>3.5其他要求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本项目特定资格要求</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（2）、财务状况报告：提供具有财务审计资质单位出具的2022年度财务报告或投标前六个月内其基本账户银行出具的资信证明或政府采购信用担保机构出具的投标担保函。 （3）、税收交纳证明：提供截止至投标时间前六个月内任意一个月的缴费凭据；（依法免税的供应商应提供相关文件证明）。 （4）、社会保障资金交纳证明：提供截止至投标时间前六个月内任意一个月的社保缴费凭据或社保机构开具的社会保险参保缴费情况证明；（依法不需要交纳社会保障资金的供应商应提供相关证明）。 （5）、提供具有履行本合同所必需的设备和专业技术能力的承诺。 （6）、提供参加政府采购活动前三年内在经营活动中没有重大违法记录的书面声明。 （7）、具有行政主管部门颁发的城乡规划乙级及以上资质。 （8）、拟派项目负责人须具有国家注册城市规划师(或国家注册城乡规划师)执业资格。 （9）、供应商应授权合法的人员参加招标全过程，其中法定代表直接参加招标的，须出具身份证，并与营业执照上信息一致。授权代表参加招标的，须出具法定代表人授权委托书及授权代表身份证。 （10）、供应商不得为“信用中国(www.creditchina.gov.cn)”中列入失信被执行人名单的供应商，不得为“中国政府采购网(www.ccgp.gov.cn” 政府采购严重违法失信行为记录名单中被财政部门禁止参加政府采购活动的供应商。</w:t>
            </w:r>
          </w:p>
        </w:tc>
        <w:tc>
          <w:tcPr>
            <w:tcW w:type="dxa" w:w="1661"/>
          </w:tcPr>
          <w:p>
            <w:pPr>
              <w:pStyle w:val="null3"/>
            </w:pPr>
            <w:r>
              <w:rPr/>
              <w:t>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本项目特定资格要求</w:t>
            </w:r>
          </w:p>
        </w:tc>
        <w:tc>
          <w:tcPr>
            <w:tcW w:type="dxa" w:w="3322"/>
          </w:tcPr>
          <w:p>
            <w:pPr>
              <w:pStyle w:val="null3"/>
            </w:pPr>
            <w:r>
              <w:rPr/>
              <w:t xml:space="preserve"> （1）、具有独立承担民事责任能力的法人、其他组织或自然人，并出具合法有效的营业执照或事业单位法人证书等国家规定的相关证明，自然人参与的提供其身份证明。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（2）、财务状况报告：提供具有财务审计资质单位出具的2022年度财务报告或投标前六个月内其基本账户银行出具的资信证明或政府采购信用担保机构出具的投标担保函。 （3）、税收交纳证明：提供截止至投标时间前六个月内任意一个月的缴费凭据；（依法免税的供应商应提供相关文件证明）。 （4）、社会保障资金交纳证明：提供截止至投标时间前六个月内任意一个月的社保缴费凭据或社保机构开具的社会保险参保缴费情况证明（依法不需要交纳社会保障资金的供应商应提供相关证明）。 （5）、提供具有履行本合同所必需的设备和专业技术能力的承诺。 （6）、提供参加政府采购活动前三年内在经营活动中没有重大违法记录的书面声明。 （7）、具有行政主管部门颁发的城乡规划乙级及以上资质。 （8）、拟派项目负责人须具有国家注册城市规划师(或国家注册城乡规划师)执业资格。 （9）、供应商应授权合法的人员参加招标全过程，其中法定代表直接参加招标的，须出具身份证，并与营业执照上信息一致。授权代表参加招标的，须出具法定代表人授权委托书及授权代表身份证。 （10）、供应商不得为“信用中国(www.creditchina.gov.cn)”中列入失信被执行人名单的供应商，不得为“中国政府采购网(www.ccgp.gov.cn” 政府采购严重违法失信行为记录名单中被财政部门禁止参加政府采购活动的供应商。</w:t>
            </w:r>
          </w:p>
        </w:tc>
        <w:tc>
          <w:tcPr>
            <w:tcW w:type="dxa" w:w="1661"/>
          </w:tcPr>
          <w:p>
            <w:pPr>
              <w:pStyle w:val="null3"/>
            </w:pPr>
            <w:r>
              <w:rPr/>
              <w:t>投标人应提交的相关资格证明材料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本项目特定资格要求</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（2）、财务状况报告：提供具有财务审计资质单位出具的2022年度财务报告或投标前六个月内其基本账户银行出具的资信证明或政府采购信用担保机构出具的投标担保函。 （3）、税收交纳证明：提供截止至投标时间前六个月内任意一个月的缴费凭据；（依法免税的供应商应提供相关文件证明）。 （4）、社会保障资金交纳证明：提供截止至投标时间前六个月内任意一个月的社保缴费凭据或社保机构开具的社会保险参保缴费情况证明；（依法不需要交纳社会保障资金的供应商应提供相关证明）。 （5）、提供具有履行本合同所必需的设备和专业技术能力的承诺。 （6）、提供参加政府采购活动前三年内在经营活动中没有重大违法记录的书面声明。 （7）、具有行政主管部门颁发的城乡规划乙级及以上资质。 （8）、拟派项目负责人须具有国家注册城市规划师(或国家注册城乡规划师)执业资格。 （9）、供应商应授权合法的人员参加招标全过程，其中法定代表直接参加招标的，须出具身份证，并与营业执照上信息一致。授权代表参加招标的，须出具法定代表人授权委托书及授权代表身份证。 （10）、供应商不得为“信用中国(www.creditchina.gov.cn)”中列入失信被执行人名单的供应商，不得为“中国政府采购网(www.ccgp.gov.cn” 政府采购严重违法失信行为记录名单中被财政部门禁止参加政府采购活动的供应商。</w:t>
            </w:r>
          </w:p>
        </w:tc>
        <w:tc>
          <w:tcPr>
            <w:tcW w:type="dxa" w:w="1661"/>
          </w:tcPr>
          <w:p>
            <w:pPr>
              <w:pStyle w:val="null3"/>
            </w:pPr>
            <w:r>
              <w:rPr/>
              <w:t>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w:t>
            </w:r>
          </w:p>
        </w:tc>
        <w:tc>
          <w:tcPr>
            <w:tcW w:type="dxa" w:w="3322"/>
          </w:tcPr>
          <w:p>
            <w:pPr>
              <w:pStyle w:val="null3"/>
            </w:pPr>
            <w:r>
              <w:rPr/>
              <w:t>1、《政府采购促进中小企业发展管理办法》（财库〔2020〕46号）；2、《陕西省中小企业政府采购信用融资 办法》（陕财办采〔2018〕23号）；3、《财政部司法部关于政府采购支持监狱企业发展有关问题的通知》（财库〔2014〕68号）；4、《 三部门联合发布关于促进残疾人就业政府采购政策的通知》（财库〔2017〕141号）；5、其他需要落实的政策；6本项目非专门面向中小企业。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w:t>
            </w:r>
          </w:p>
        </w:tc>
        <w:tc>
          <w:tcPr>
            <w:tcW w:type="dxa" w:w="3322"/>
          </w:tcPr>
          <w:p>
            <w:pPr>
              <w:pStyle w:val="null3"/>
            </w:pPr>
            <w:r>
              <w:rPr/>
              <w:t>1、《政府采购促进中小企业发展管理办法》（财库〔2020〕46号）；2、《陕西省中小企业政府采购信用融资 办法》（陕财办采〔2018〕23号）；3、《财政部司法部关于政府采购支持监狱企业发展有关问题的通知》（财库〔2014〕68号）；4、《 三部门联合发布关于促进残疾人就业政府采购政策的通知》（财库〔2017〕141号）；5、其他需要落实的政策；6本项目非专门面向中小企业。</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w:t>
            </w:r>
          </w:p>
        </w:tc>
        <w:tc>
          <w:tcPr>
            <w:tcW w:type="dxa" w:w="3322"/>
          </w:tcPr>
          <w:p>
            <w:pPr>
              <w:pStyle w:val="null3"/>
            </w:pPr>
            <w:r>
              <w:rPr/>
              <w:t>1、《政府采购促进中小企业发展管理办法》（财库〔2020〕46号）；2、《陕西省中小企业政府采购信用融资 办法》（陕财办采〔2018〕23号）；3、《财政部司法部关于政府采购支持监狱企业发展有关问题的通知》（财库〔2014〕68号）；4、《 三部门联合发布关于促进残疾人就业政府采购政策的通知》（财库〔2017〕141号）；5、其他需要落实的政策；6本项目非专门面向中小企业。</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招标响应文件的签署盖章</w:t>
            </w:r>
          </w:p>
        </w:tc>
        <w:tc>
          <w:tcPr>
            <w:tcW w:type="dxa" w:w="3322"/>
          </w:tcPr>
          <w:p>
            <w:pPr>
              <w:pStyle w:val="null3"/>
            </w:pPr>
            <w:r>
              <w:rPr/>
              <w:t>招标响应文件上法定代表人或被授权人的签字齐全并加盖公章。</w:t>
            </w:r>
          </w:p>
        </w:tc>
        <w:tc>
          <w:tcPr>
            <w:tcW w:type="dxa" w:w="1661"/>
          </w:tcPr>
          <w:p>
            <w:pPr>
              <w:pStyle w:val="null3"/>
            </w:pPr>
            <w:r>
              <w:rPr/>
              <w:t>分项报价表1 开标一览表 近年完成的类似项目情况 技术偏离表 服务内容及服务邀请应答表 法定代表人证明书 中小企业声明函 商务应答表 项目人员组成表 法定代表人授权书1 投标人应提交的相关资格证明材料 供应商情况表 拒绝商业贿赂承诺书 投标函 商务偏离表 残疾人福利性单位声明函 服务方案 标的清单 无不良信用记录承诺函 投标文件封面 监狱企业的证明文件</w:t>
            </w:r>
          </w:p>
        </w:tc>
      </w:tr>
      <w:tr>
        <w:tc>
          <w:tcPr>
            <w:tcW w:type="dxa" w:w="831"/>
          </w:tcPr>
          <w:p>
            <w:pPr>
              <w:pStyle w:val="null3"/>
            </w:pPr>
            <w:r>
              <w:rPr/>
              <w:t>3</w:t>
            </w:r>
          </w:p>
        </w:tc>
        <w:tc>
          <w:tcPr>
            <w:tcW w:type="dxa" w:w="2492"/>
          </w:tcPr>
          <w:p>
            <w:pPr>
              <w:pStyle w:val="null3"/>
            </w:pPr>
            <w:r>
              <w:rPr/>
              <w:t>招标响应文件格式</w:t>
            </w:r>
          </w:p>
        </w:tc>
        <w:tc>
          <w:tcPr>
            <w:tcW w:type="dxa" w:w="3322"/>
          </w:tcPr>
          <w:p>
            <w:pPr>
              <w:pStyle w:val="null3"/>
            </w:pPr>
            <w:r>
              <w:rPr/>
              <w:t>应符合“招标文件格式”要求。</w:t>
            </w:r>
          </w:p>
        </w:tc>
        <w:tc>
          <w:tcPr>
            <w:tcW w:type="dxa" w:w="1661"/>
          </w:tcPr>
          <w:p>
            <w:pPr>
              <w:pStyle w:val="null3"/>
            </w:pPr>
            <w:r>
              <w:rPr/>
              <w:t>分项报价表1 开标一览表 近年完成的类似项目情况 技术偏离表 服务内容及服务邀请应答表 法定代表人证明书 中小企业声明函 商务应答表 项目人员组成表 法定代表人授权书1 供应商情况表 拒绝商业贿赂承诺书 投标函 商务偏离表 残疾人福利性单位声明函 标的清单 无不良信用记录承诺函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w:t>
            </w:r>
          </w:p>
        </w:tc>
      </w:tr>
      <w:tr>
        <w:tc>
          <w:tcPr>
            <w:tcW w:type="dxa" w:w="831"/>
          </w:tcPr>
          <w:p>
            <w:pPr>
              <w:pStyle w:val="null3"/>
            </w:pPr>
            <w:r>
              <w:rPr/>
              <w:t>5</w:t>
            </w:r>
          </w:p>
        </w:tc>
        <w:tc>
          <w:tcPr>
            <w:tcW w:type="dxa" w:w="2492"/>
          </w:tcPr>
          <w:p>
            <w:pPr>
              <w:pStyle w:val="null3"/>
            </w:pPr>
            <w:r>
              <w:rPr/>
              <w:t>招标响应文件内容</w:t>
            </w:r>
          </w:p>
        </w:tc>
        <w:tc>
          <w:tcPr>
            <w:tcW w:type="dxa" w:w="3322"/>
          </w:tcPr>
          <w:p>
            <w:pPr>
              <w:pStyle w:val="null3"/>
            </w:pPr>
            <w:r>
              <w:rPr/>
              <w:t>招标响应文件内容齐全、无遗漏。</w:t>
            </w:r>
          </w:p>
        </w:tc>
        <w:tc>
          <w:tcPr>
            <w:tcW w:type="dxa" w:w="1661"/>
          </w:tcPr>
          <w:p>
            <w:pPr>
              <w:pStyle w:val="null3"/>
            </w:pPr>
            <w:r>
              <w:rPr/>
              <w:t>技术偏离表 服务内容及服务邀请应答表 商务偏离表 商务应答表</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应满足招标文件中要求的服务期</w:t>
            </w:r>
          </w:p>
        </w:tc>
        <w:tc>
          <w:tcPr>
            <w:tcW w:type="dxa" w:w="1661"/>
          </w:tcPr>
          <w:p>
            <w:pPr>
              <w:pStyle w:val="null3"/>
            </w:pPr>
            <w:r>
              <w:rPr/>
              <w:t>服务内容及服务邀请应答表 商务应答表 服务方案</w:t>
            </w:r>
          </w:p>
        </w:tc>
      </w:tr>
      <w:tr>
        <w:tc>
          <w:tcPr>
            <w:tcW w:type="dxa" w:w="831"/>
          </w:tcPr>
          <w:p>
            <w:pPr>
              <w:pStyle w:val="null3"/>
            </w:pPr>
            <w:r>
              <w:rPr/>
              <w:t>7</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技术偏离表 服务内容及服务邀请应答表 商务偏离表 商务应答表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招标响应文件的签署盖章</w:t>
            </w:r>
          </w:p>
        </w:tc>
        <w:tc>
          <w:tcPr>
            <w:tcW w:type="dxa" w:w="3322"/>
          </w:tcPr>
          <w:p>
            <w:pPr>
              <w:pStyle w:val="null3"/>
            </w:pPr>
            <w:r>
              <w:rPr/>
              <w:t>招标响应文件上法定代表人或被授权人的签字齐全并加盖公章。</w:t>
            </w:r>
          </w:p>
        </w:tc>
        <w:tc>
          <w:tcPr>
            <w:tcW w:type="dxa" w:w="1661"/>
          </w:tcPr>
          <w:p>
            <w:pPr>
              <w:pStyle w:val="null3"/>
            </w:pPr>
            <w:r>
              <w:rPr/>
              <w:t>分项报价表1 开标一览表 近年完成的类似项目情况 技术偏离表 服务内容及服务邀请应答表 法定代表人证明书 中小企业声明函 商务应答表 项目人员组成表 法定代表人授权书1 投标人应提交的相关资格证明材料 供应商情况表 拒绝商业贿赂承诺书 投标函 商务偏离表 残疾人福利性单位声明函 服务方案 标的清单 无不良信用记录承诺函 投标文件封面 监狱企业的证明文件</w:t>
            </w:r>
          </w:p>
        </w:tc>
      </w:tr>
      <w:tr>
        <w:tc>
          <w:tcPr>
            <w:tcW w:type="dxa" w:w="831"/>
          </w:tcPr>
          <w:p>
            <w:pPr>
              <w:pStyle w:val="null3"/>
            </w:pPr>
            <w:r>
              <w:rPr/>
              <w:t>3</w:t>
            </w:r>
          </w:p>
        </w:tc>
        <w:tc>
          <w:tcPr>
            <w:tcW w:type="dxa" w:w="2492"/>
          </w:tcPr>
          <w:p>
            <w:pPr>
              <w:pStyle w:val="null3"/>
            </w:pPr>
            <w:r>
              <w:rPr/>
              <w:t>招标响应文件格式</w:t>
            </w:r>
          </w:p>
        </w:tc>
        <w:tc>
          <w:tcPr>
            <w:tcW w:type="dxa" w:w="3322"/>
          </w:tcPr>
          <w:p>
            <w:pPr>
              <w:pStyle w:val="null3"/>
            </w:pPr>
            <w:r>
              <w:rPr/>
              <w:t>应符合“招标文件格式”要求。</w:t>
            </w:r>
          </w:p>
        </w:tc>
        <w:tc>
          <w:tcPr>
            <w:tcW w:type="dxa" w:w="1661"/>
          </w:tcPr>
          <w:p>
            <w:pPr>
              <w:pStyle w:val="null3"/>
            </w:pPr>
            <w:r>
              <w:rPr/>
              <w:t>分项报价表1 开标一览表 近年完成的类似项目情况 技术偏离表 服务内容及服务邀请应答表 法定代表人证明书 中小企业声明函 商务应答表 项目人员组成表 法定代表人授权书1 供应商情况表 拒绝商业贿赂承诺书 投标函 商务偏离表 残疾人福利性单位声明函 标的清单 无不良信用记录承诺函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w:t>
            </w:r>
          </w:p>
        </w:tc>
      </w:tr>
      <w:tr>
        <w:tc>
          <w:tcPr>
            <w:tcW w:type="dxa" w:w="831"/>
          </w:tcPr>
          <w:p>
            <w:pPr>
              <w:pStyle w:val="null3"/>
            </w:pPr>
            <w:r>
              <w:rPr/>
              <w:t>5</w:t>
            </w:r>
          </w:p>
        </w:tc>
        <w:tc>
          <w:tcPr>
            <w:tcW w:type="dxa" w:w="2492"/>
          </w:tcPr>
          <w:p>
            <w:pPr>
              <w:pStyle w:val="null3"/>
            </w:pPr>
            <w:r>
              <w:rPr/>
              <w:t>招标响应文件内容</w:t>
            </w:r>
          </w:p>
        </w:tc>
        <w:tc>
          <w:tcPr>
            <w:tcW w:type="dxa" w:w="3322"/>
          </w:tcPr>
          <w:p>
            <w:pPr>
              <w:pStyle w:val="null3"/>
            </w:pPr>
            <w:r>
              <w:rPr/>
              <w:t>招标响应文件内容齐全、无遗漏。</w:t>
            </w:r>
          </w:p>
        </w:tc>
        <w:tc>
          <w:tcPr>
            <w:tcW w:type="dxa" w:w="1661"/>
          </w:tcPr>
          <w:p>
            <w:pPr>
              <w:pStyle w:val="null3"/>
            </w:pPr>
            <w:r>
              <w:rPr/>
              <w:t>技术偏离表 服务内容及服务邀请应答表 商务偏离表 商务应答表</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应满足招标文件中要求的服务期。</w:t>
            </w:r>
          </w:p>
        </w:tc>
        <w:tc>
          <w:tcPr>
            <w:tcW w:type="dxa" w:w="1661"/>
          </w:tcPr>
          <w:p>
            <w:pPr>
              <w:pStyle w:val="null3"/>
            </w:pPr>
            <w:r>
              <w:rPr/>
              <w:t>服务内容及服务邀请应答表 商务应答表</w:t>
            </w:r>
          </w:p>
        </w:tc>
      </w:tr>
      <w:tr>
        <w:tc>
          <w:tcPr>
            <w:tcW w:type="dxa" w:w="831"/>
          </w:tcPr>
          <w:p>
            <w:pPr>
              <w:pStyle w:val="null3"/>
            </w:pPr>
            <w:r>
              <w:rPr/>
              <w:t>7</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技术偏离表 服务内容及服务邀请应答表 商务偏离表 商务应答表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招标响应文件的签署盖章</w:t>
            </w:r>
          </w:p>
        </w:tc>
        <w:tc>
          <w:tcPr>
            <w:tcW w:type="dxa" w:w="3322"/>
          </w:tcPr>
          <w:p>
            <w:pPr>
              <w:pStyle w:val="null3"/>
            </w:pPr>
            <w:r>
              <w:rPr/>
              <w:t>招标响应文件上法定代表人或被授权人的签字齐全并加盖公章。</w:t>
            </w:r>
          </w:p>
        </w:tc>
        <w:tc>
          <w:tcPr>
            <w:tcW w:type="dxa" w:w="1661"/>
          </w:tcPr>
          <w:p>
            <w:pPr>
              <w:pStyle w:val="null3"/>
            </w:pPr>
            <w:r>
              <w:rPr/>
              <w:t>分项报价表1 开标一览表 近年完成的类似项目情况 技术偏离表 服务内容及服务邀请应答表 法定代表人证明书 中小企业声明函 商务应答表 项目人员组成表 法定代表人授权书1 投标人应提交的相关资格证明材料 供应商情况表 拒绝商业贿赂承诺书 投标函 商务偏离表 残疾人福利性单位声明函 服务方案 标的清单 无不良信用记录承诺函 投标文件封面 监狱企业的证明文件</w:t>
            </w:r>
          </w:p>
        </w:tc>
      </w:tr>
      <w:tr>
        <w:tc>
          <w:tcPr>
            <w:tcW w:type="dxa" w:w="831"/>
          </w:tcPr>
          <w:p>
            <w:pPr>
              <w:pStyle w:val="null3"/>
            </w:pPr>
            <w:r>
              <w:rPr/>
              <w:t>3</w:t>
            </w:r>
          </w:p>
        </w:tc>
        <w:tc>
          <w:tcPr>
            <w:tcW w:type="dxa" w:w="2492"/>
          </w:tcPr>
          <w:p>
            <w:pPr>
              <w:pStyle w:val="null3"/>
            </w:pPr>
            <w:r>
              <w:rPr/>
              <w:t>招标响应文件格式</w:t>
            </w:r>
          </w:p>
        </w:tc>
        <w:tc>
          <w:tcPr>
            <w:tcW w:type="dxa" w:w="3322"/>
          </w:tcPr>
          <w:p>
            <w:pPr>
              <w:pStyle w:val="null3"/>
            </w:pPr>
            <w:r>
              <w:rPr/>
              <w:t>应符合“招标文件格式”要求。</w:t>
            </w:r>
          </w:p>
        </w:tc>
        <w:tc>
          <w:tcPr>
            <w:tcW w:type="dxa" w:w="1661"/>
          </w:tcPr>
          <w:p>
            <w:pPr>
              <w:pStyle w:val="null3"/>
            </w:pPr>
            <w:r>
              <w:rPr/>
              <w:t>分项报价表1 开标一览表 近年完成的类似项目情况 技术偏离表 服务内容及服务邀请应答表 法定代表人证明书 中小企业声明函 商务应答表 项目人员组成表 法定代表人授权书1 供应商情况表 拒绝商业贿赂承诺书 投标函 商务偏离表 残疾人福利性单位声明函 标的清单 无不良信用记录承诺函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w:t>
            </w:r>
          </w:p>
        </w:tc>
      </w:tr>
      <w:tr>
        <w:tc>
          <w:tcPr>
            <w:tcW w:type="dxa" w:w="831"/>
          </w:tcPr>
          <w:p>
            <w:pPr>
              <w:pStyle w:val="null3"/>
            </w:pPr>
            <w:r>
              <w:rPr/>
              <w:t>5</w:t>
            </w:r>
          </w:p>
        </w:tc>
        <w:tc>
          <w:tcPr>
            <w:tcW w:type="dxa" w:w="2492"/>
          </w:tcPr>
          <w:p>
            <w:pPr>
              <w:pStyle w:val="null3"/>
            </w:pPr>
            <w:r>
              <w:rPr/>
              <w:t>招标响应文件内容</w:t>
            </w:r>
          </w:p>
        </w:tc>
        <w:tc>
          <w:tcPr>
            <w:tcW w:type="dxa" w:w="3322"/>
          </w:tcPr>
          <w:p>
            <w:pPr>
              <w:pStyle w:val="null3"/>
            </w:pPr>
            <w:r>
              <w:rPr/>
              <w:t>招标响应文件内容齐全、无遗漏。</w:t>
            </w:r>
          </w:p>
        </w:tc>
        <w:tc>
          <w:tcPr>
            <w:tcW w:type="dxa" w:w="1661"/>
          </w:tcPr>
          <w:p>
            <w:pPr>
              <w:pStyle w:val="null3"/>
            </w:pPr>
            <w:r>
              <w:rPr/>
              <w:t>技术偏离表 服务内容及服务邀请应答表 商务偏离表 商务应答表</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应满足招标文件中要求的服务期</w:t>
            </w:r>
          </w:p>
        </w:tc>
        <w:tc>
          <w:tcPr>
            <w:tcW w:type="dxa" w:w="1661"/>
          </w:tcPr>
          <w:p>
            <w:pPr>
              <w:pStyle w:val="null3"/>
            </w:pPr>
            <w:r>
              <w:rPr/>
              <w:t>服务内容及服务邀请应答表 商务应答表</w:t>
            </w:r>
          </w:p>
        </w:tc>
      </w:tr>
      <w:tr>
        <w:tc>
          <w:tcPr>
            <w:tcW w:type="dxa" w:w="831"/>
          </w:tcPr>
          <w:p>
            <w:pPr>
              <w:pStyle w:val="null3"/>
            </w:pPr>
            <w:r>
              <w:rPr/>
              <w:t>7</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技术偏离表 服务内容及服务邀请应答表 商务偏离表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技术部分（项目总体概述）</w:t>
            </w:r>
          </w:p>
        </w:tc>
        <w:tc>
          <w:tcPr>
            <w:tcW w:type="dxa" w:w="2492"/>
          </w:tcPr>
          <w:p>
            <w:pPr>
              <w:pStyle w:val="null3"/>
            </w:pPr>
            <w:r>
              <w:rPr/>
              <w:t>1、项目背景和理解2分： 根据投标人对项目总体认识是否全面深刻、论述完整清晰；总体组织符合实际、计划合理等方面情况进行综合评审[0-2]分。 2、现状分析和评估8分： 结合项目范围内现状实地调查情况和相关规划，研究分析本项目范围内土地利用、建筑风貌、开发强度与交通等内容进行综合打分。调研资料详实，分析结论合理准确得（5-8]分，调研资料较为详实，结论基本合理的得（2.5-5]分；现状资料欠缺明显，结论偏颇的得[0-2.5]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技术部分（规划理念与工作方法）</w:t>
            </w:r>
          </w:p>
        </w:tc>
        <w:tc>
          <w:tcPr>
            <w:tcW w:type="dxa" w:w="2492"/>
          </w:tcPr>
          <w:p>
            <w:pPr>
              <w:pStyle w:val="null3"/>
            </w:pPr>
            <w:r>
              <w:rPr/>
              <w:t>1、规划理念方法10分： 根据规划理念的先进性、规划方法和手段的适用性和可操作性等进行综合评审。规划理念先进、规划方法适宜的得(7-10]分；规划理念与规划方法较为适宜的得(3.5-7]分，规划方法不适宜需求的得[0-3.5]分。 2、技术思路10分： 提出编制方案技术思路是否清晰，总结是否到位等进行综合打分。技术思路清晰完整，总结深刻到位的得(7-10]分；思路较为清晰，总结概括适当的得(3.5-7]分；总结结论偏颇，思路混乱的得[0-3.5]分。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技术部分（规划设计内容体系）</w:t>
            </w:r>
          </w:p>
        </w:tc>
        <w:tc>
          <w:tcPr>
            <w:tcW w:type="dxa" w:w="2492"/>
          </w:tcPr>
          <w:p>
            <w:pPr>
              <w:pStyle w:val="null3"/>
            </w:pPr>
            <w:r>
              <w:rPr/>
              <w:t>1、目标定位10分： 提出区域的总体发展目标定位。投标人对项目的总体定位准确，功能研究合理、科学得(7-10]分；目标定位稍显不准得(3.5-7]分；目标定位错误的，得[0-3.5]分。 2、总体方案10分： 研究提出规划策略，并从用地布局、功能业态、空间形态等方面进行分析解读。投标人总体布局方案科学合理得(7-10]分；规划方案较为一般的得(3.5-7]分；方案明显不足或方案问题突出的得[0-3.5]分。 3、重点区域空间形态研究10分： 对重点区域与地块的空间形态和特色塑造进行研究。投标人方案科学合理得(7-10]打分；设计方案稍显不足得(3.5-7]分；设计方案不合理得[0-3.5]分。</w:t>
            </w:r>
          </w:p>
        </w:tc>
        <w:tc>
          <w:tcPr>
            <w:tcW w:type="dxa" w:w="831"/>
          </w:tcPr>
          <w:p>
            <w:pPr>
              <w:pStyle w:val="null3"/>
              <w:jc w:val="right"/>
            </w:pPr>
            <w:r>
              <w:rPr/>
              <w:t>30.00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技术部分（服务保障）</w:t>
            </w:r>
          </w:p>
        </w:tc>
        <w:tc>
          <w:tcPr>
            <w:tcW w:type="dxa" w:w="2492"/>
          </w:tcPr>
          <w:p>
            <w:pPr>
              <w:pStyle w:val="null3"/>
            </w:pPr>
            <w:r>
              <w:rPr/>
              <w:t>1、规划服务保障5分： 根据技术服务及售后服务保障内容是否科学合理，售后服务系统是否完善，实施保障措施的指导意义，由专家进行综合评审0-5分；技术及售后服务科学合理，保障完善的得(3.5-5]分；较为合理的得(1.5-3.5]分；基本合理的得(0-1.5]分，不合理的不得0分。 2、规划设计周期5分： 根据规划目标的针对性和明确性，规划周期设计是否科学、合理，由专家进行综合评审0-5分；设计周期科学合理得(3.5-5]分；设计周期基本合理得得(1.5-3.5]分；设计周期不合理或者不满足要求的得[0-1.5]分。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技术部分（技术保障）</w:t>
            </w:r>
          </w:p>
        </w:tc>
        <w:tc>
          <w:tcPr>
            <w:tcW w:type="dxa" w:w="2492"/>
          </w:tcPr>
          <w:p>
            <w:pPr>
              <w:pStyle w:val="null3"/>
            </w:pPr>
            <w:r>
              <w:rPr/>
              <w:t>1、项目组成员情况5分： 主要设计人员（项目负责人除外）中，具有注册规划师资格的，每人得1分，此项最高分为4分。同时具有高级工程师职称与注册规划师资格的，每人得1分，此项最高分为1分。（所有人员需为本单位在册在职人员，以社保证明为准）（投标文件中同时提供有效证书复印件及单位为其缴纳的社保证明复印件，否则不得分）。 2、执业资格及职称5分： 项目负责人拥有高级工程师职称与注册规划师资格的，得5分；拥有注册规划师资格的，得3分；拥有工程师职称，得2分；本项满分5分。（以职称证书及注册证书为准）（投标文件内需提供职称证书及注册证书复印件及单位为其缴纳的社保证明复印件，返聘人员提供返聘合同扫描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资信部分（投标人综合实力）</w:t>
            </w:r>
          </w:p>
        </w:tc>
        <w:tc>
          <w:tcPr>
            <w:tcW w:type="dxa" w:w="2492"/>
          </w:tcPr>
          <w:p>
            <w:pPr>
              <w:pStyle w:val="null3"/>
            </w:pPr>
            <w:r>
              <w:rPr/>
              <w:t>1、同类业绩4分： 2020年1月1日以来，投标人编制过同类项目（控制性详细规划）案例的，每项得2分，最高分为4分（须提供合同或中标通知书复印件，否则不得分）。 2、企业管理6分： 投标人具有有效的质量管理体系认证、职业健康安全管理体系认证、环境管理体系认证三体系证书，得6分，少一项扣2分，此项最高分为6分。（提供在有效期内的认证证书的复印件并加盖公章，否则不得分）。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价格分采用低价优先法计算，即满足招标文件要求且投标报价最低的投标报价为评标基准价，其价格分为满分。其他投标单位的价格分统一按照下列公式计算：投标报价=（评标基准价/投标报价）×价格权值×100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w:t>
            </w:r>
          </w:p>
        </w:tc>
        <w:tc>
          <w:tcPr>
            <w:tcW w:type="dxa" w:w="2492"/>
          </w:tcPr>
          <w:p>
            <w:pPr>
              <w:pStyle w:val="null3"/>
            </w:pPr>
            <w:r>
              <w:rPr/>
              <w:t>实施方案：根据投标人对本项目提出详细可行的规划实施方案，对项目背景、目标任务、技术路线、工作流程、人员投入、仪器设备投入、工作进度安排、培训等内容完整性和齐全性进行综合评审（0-30分） （1）技术方案完整详细，科学可行的，得(25-30]分； （2）技术方案较为完整，可行性较高的，得(15-25]分； （3）技术方案一般，总体较差的，得[0-15]分。</w:t>
            </w:r>
          </w:p>
        </w:tc>
        <w:tc>
          <w:tcPr>
            <w:tcW w:type="dxa" w:w="831"/>
          </w:tcPr>
          <w:p>
            <w:pPr>
              <w:pStyle w:val="null3"/>
              <w:jc w:val="right"/>
            </w:pPr>
            <w:r>
              <w:rPr/>
              <w:t>30.00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重难点分析及解决方案： 根据投标人对本项目提出重难点分析及解决方案进行综合评审（0-10分） （1）重难点分析及解决方案准确、可行，切合本项目实际情况的，能够解决实际问题的，得(7-10]分； （2）重难点分析及解决方案照搬网络内容的，得(4-7]分； （3）重难点分析及解决方案简单，不能解决实际问题的，得[0-4]分。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服务质量、安全保密保障措施： 根据投标人对本项目的服务质量保障措施、安全保密保障措施的详细完整进行综合评审（0-10分） （1）各类保障措施详细、完整合理、符合本次项目的实际内容和要求的，得(7-10]分； （2）各类保障措施较详细较符合本次项目的实际内容和要求的，得(4-7]分； （3）各类保障措施不完整、不符合本次项目的实际内容的，得[0-4]分。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售后服务： 根据投标人提供的售后服务方案的完整性进行综合评审，至少包括（响应时效、服务承诺、服务内容）等方面（0-10分） （1）方案符合本项目实际情况、具有前瞻性、内容规范的，得(7-10]分； （2）方案较符合本项目实际情况的，得(4-7]分； （3）方案不完整、不符合本次项目的实际内容的，得[0-4]分。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商务部分（投标人综合实力）</w:t>
            </w:r>
          </w:p>
        </w:tc>
        <w:tc>
          <w:tcPr>
            <w:tcW w:type="dxa" w:w="2492"/>
          </w:tcPr>
          <w:p>
            <w:pPr>
              <w:pStyle w:val="null3"/>
            </w:pPr>
            <w:r>
              <w:rPr/>
              <w:t>1 、体系认证4分: 投标人获得质量管理体系、职业健康安全管理体系、信息安全管理体系、环境管理体系认证，认证证书范围包含关键字“土地规划”或“城乡规划”，且在有效期内的，每提供一项得1分，最高得4分。 （注：在投标文件中提供认证证书复印件加盖投标人公章，不提供不得分）。 2、软件著作权3分： 投标人获得国土空间详细规划地块层级分析系统或国土空间基础信息平台或国土空间开发保护现状评估系统或国土空间“一张图”实施监督信息系统软件著作权的，有1个得1分，最高得3分。 （注：在投标文件中提供证书复印件加盖投标人公章，不提供不得分）。 3、类似业绩10分： 2020年1月1日以来，投标人承担过类似项目（控制性详细规划或村庄规划）的，每个得2分，最高得10分. （注：在投标文件中提供合同或中标通知书复印件加盖投标人公章，不提供不得分）。</w:t>
            </w:r>
          </w:p>
        </w:tc>
        <w:tc>
          <w:tcPr>
            <w:tcW w:type="dxa" w:w="831"/>
          </w:tcPr>
          <w:p>
            <w:pPr>
              <w:pStyle w:val="null3"/>
              <w:jc w:val="right"/>
            </w:pPr>
            <w:r>
              <w:rPr/>
              <w:t>17.00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商务部分（项目负责人）</w:t>
            </w:r>
          </w:p>
        </w:tc>
        <w:tc>
          <w:tcPr>
            <w:tcW w:type="dxa" w:w="2492"/>
          </w:tcPr>
          <w:p>
            <w:pPr>
              <w:pStyle w:val="null3"/>
            </w:pPr>
            <w:r>
              <w:rPr/>
              <w:t>1、执业资格及职称6分： 项目负责人具有城乡规划或城市设计专业高级（含副高）工程师职称且具有注册城乡规划师执业资格、地理信息安全保密培训合格证的得6分，其他情况不得分。本项目最高得6分。 （注：在投标文件中提供职称证书、注册证书、培训合格证、近期人员参保证明复印件加盖投标人公章，不提供不得分）。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技术部分（其他技术人员投入）</w:t>
            </w:r>
          </w:p>
        </w:tc>
        <w:tc>
          <w:tcPr>
            <w:tcW w:type="dxa" w:w="2492"/>
          </w:tcPr>
          <w:p>
            <w:pPr>
              <w:pStyle w:val="null3"/>
            </w:pPr>
            <w:r>
              <w:rPr/>
              <w:t>项目组成员情况7分： 拟投入本项目的其他技术人员具备城乡规划或城市设计相关专业中级及以上职称，其中高级（含副高）职称或注册城乡规划师每个得1分，中级职称每个得0.5分，最高得7分。 （注：在投标文件中提供相关职称证书、注册证书、近期人员参保证明复印件并加盖投标人公章，不提供不得分）。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价格分采用低价优先法计算，即满足招标文件要求且投标报价最低的投标报价为评标基准价，其价格分为满分。其他投标单位的价格分统一按照下列公式计算：投标报价=（评标基准价/投标报价）×价格权值×100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技术服务（对项目的理解与解读）</w:t>
            </w:r>
          </w:p>
        </w:tc>
        <w:tc>
          <w:tcPr>
            <w:tcW w:type="dxa" w:w="2492"/>
          </w:tcPr>
          <w:p>
            <w:pPr>
              <w:pStyle w:val="null3"/>
            </w:pPr>
            <w:r>
              <w:rPr/>
              <w:t xml:space="preserve"> 根据投标人对项目的理解与解读程度进行打分： 1.对项目的理解准确，对课题能做深入的解读，(7-10 ]分； 2.对项目的理解比较准确，对课题能做比较深入的解读，(4-7] 分； 3.对项目的理解有偏差，对课题能做简单的解读，[0-4]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技术服务（服务方案）</w:t>
            </w:r>
          </w:p>
        </w:tc>
        <w:tc>
          <w:tcPr>
            <w:tcW w:type="dxa" w:w="2492"/>
          </w:tcPr>
          <w:p>
            <w:pPr>
              <w:pStyle w:val="null3"/>
            </w:pPr>
            <w:r>
              <w:rPr/>
              <w:t>根据投标人服务方案进行打分： 1.方案清晰、可行、技术完备，实施性强(12-15] 分； 2.方案较清晰、技术较完备，实施性较强，(8-12]分； 3.提供简要技术方案、且实施性一般计(4-8]分； 4.技术方案欠缺、实施性较差计[0-4]分；未提供不计分。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技术服务（合理化建议）</w:t>
            </w:r>
          </w:p>
        </w:tc>
        <w:tc>
          <w:tcPr>
            <w:tcW w:type="dxa" w:w="2492"/>
          </w:tcPr>
          <w:p>
            <w:pPr>
              <w:pStyle w:val="null3"/>
            </w:pPr>
            <w:r>
              <w:rPr/>
              <w:t>根据本项目的采购内容提出合理化建议： 1.建议合理完善、思路清晰、相关方案切实可行的计(6-10]分； 2.内容基本完整，方案基本可行计(3-6]分； 3.内容不全，方案可行性较差的计[0-3]分。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技术服务（进度保证措施）</w:t>
            </w:r>
          </w:p>
        </w:tc>
        <w:tc>
          <w:tcPr>
            <w:tcW w:type="dxa" w:w="2492"/>
          </w:tcPr>
          <w:p>
            <w:pPr>
              <w:pStyle w:val="null3"/>
            </w:pPr>
            <w:r>
              <w:rPr/>
              <w:t>根据投标人对项目的阶段安排、时间进度安排进行打分： 1.对项目的安排合理、具有可操作性，分析深刻透彻，(7-10]分； 2.对项目的安排相对合理、具有一定可操作性，分析较为深刻，(4-7] 分； 3.对项目的安排不合理、可操作性差，分析较表面，[0-4]分。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技术服务（质量保证措施）</w:t>
            </w:r>
          </w:p>
        </w:tc>
        <w:tc>
          <w:tcPr>
            <w:tcW w:type="dxa" w:w="2492"/>
          </w:tcPr>
          <w:p>
            <w:pPr>
              <w:pStyle w:val="null3"/>
            </w:pPr>
            <w:r>
              <w:rPr/>
              <w:t>根据投标人对项目的质量保证体系健全性、控制程序规范性、保证措施得当性进行打分： 1.质量保证体系健全、控制程序规范、保证措施得当，(7-10]分； 2.质量保证体系相对健全、控制程序相对规范、保证措施相对得当，(4-7]分； 3.质量保证体系不健全、控制程序不规范、保证措施不得当，[0-4]分；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技术服务（保密保证措施）</w:t>
            </w:r>
          </w:p>
        </w:tc>
        <w:tc>
          <w:tcPr>
            <w:tcW w:type="dxa" w:w="2492"/>
          </w:tcPr>
          <w:p>
            <w:pPr>
              <w:pStyle w:val="null3"/>
            </w:pPr>
            <w:r>
              <w:rPr/>
              <w:t>根据投标人对项目的保密体系（提供人员相关保密证书）健全性、保证措施可行性进行打分： 1.保密体系健全、保证措施可行性强，(5-10]分。 2.保密体系相对健全、保证措施基本可行，[0-5]分。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商务部分（类似业绩）</w:t>
            </w:r>
          </w:p>
        </w:tc>
        <w:tc>
          <w:tcPr>
            <w:tcW w:type="dxa" w:w="2492"/>
          </w:tcPr>
          <w:p>
            <w:pPr>
              <w:pStyle w:val="null3"/>
            </w:pPr>
            <w:r>
              <w:rPr/>
              <w:t>投标人提供2020年1月1日至今同类项目业绩案例（以中标通知书或合同日期为准），每提供1个得2分，最高得10分。备注：投标文件中提供合同或用户使用报告复印件，原件备查。</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商务部分（项目负责人综合素质）</w:t>
            </w:r>
          </w:p>
        </w:tc>
        <w:tc>
          <w:tcPr>
            <w:tcW w:type="dxa" w:w="2492"/>
          </w:tcPr>
          <w:p>
            <w:pPr>
              <w:pStyle w:val="null3"/>
            </w:pPr>
            <w:r>
              <w:rPr/>
              <w:t>项目负责人具有地理信息系统或测绘或规划高级工程师职称证书，计5分；具有相关中级职称的计3 分；最高得5分，未提供的不计分。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商务部分（项目人员配备）</w:t>
            </w:r>
          </w:p>
        </w:tc>
        <w:tc>
          <w:tcPr>
            <w:tcW w:type="dxa" w:w="2492"/>
          </w:tcPr>
          <w:p>
            <w:pPr>
              <w:pStyle w:val="null3"/>
            </w:pPr>
            <w:r>
              <w:rPr/>
              <w:t>拟投入本项目的人员配备计划，提供具有注册规划师证且具有相关中级及以上职称技术人员，每提供1个得2分，最高得10分。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价格分采用低价优先法计算，即满足招标文件要求且投标报价最低的投标报价为评标基准价，其价格分为满分。其他投标单位的价格分统一按照下列公式计算：投标报价=（评标基准价/投标报价）×价格权值×100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w:t>
      </w:r>
    </w:p>
    <w:p>
      <w:pPr>
        <w:pStyle w:val="null3"/>
        <w:ind w:firstLine="960"/>
      </w:pPr>
      <w:r>
        <w:rPr/>
        <w:t>详见附件：供应商情况表</w:t>
      </w:r>
    </w:p>
    <w:p>
      <w:pPr>
        <w:pStyle w:val="null3"/>
        <w:ind w:firstLine="960"/>
      </w:pPr>
      <w:r>
        <w:rPr/>
        <w:t>详见附件：技术偏离表</w:t>
      </w:r>
    </w:p>
    <w:p>
      <w:pPr>
        <w:pStyle w:val="null3"/>
        <w:ind w:firstLine="960"/>
      </w:pPr>
      <w:r>
        <w:rPr/>
        <w:t>详见附件：商务偏离表</w:t>
      </w:r>
    </w:p>
    <w:p>
      <w:pPr>
        <w:pStyle w:val="null3"/>
        <w:ind w:firstLine="960"/>
      </w:pPr>
      <w:r>
        <w:rPr/>
        <w:t>详见附件：近年完成的类似项目情况</w:t>
      </w:r>
    </w:p>
    <w:p>
      <w:pPr>
        <w:pStyle w:val="null3"/>
        <w:ind w:firstLine="960"/>
      </w:pPr>
      <w:r>
        <w:rPr/>
        <w:t>详见附件：拒绝商业贿赂承诺书</w:t>
      </w:r>
    </w:p>
    <w:p>
      <w:pPr>
        <w:pStyle w:val="null3"/>
        <w:ind w:firstLine="960"/>
      </w:pPr>
      <w:r>
        <w:rPr/>
        <w:t>详见附件：无不良信用记录承诺函</w:t>
      </w:r>
    </w:p>
    <w:p>
      <w:pPr>
        <w:pStyle w:val="null3"/>
        <w:ind w:firstLine="960"/>
      </w:pPr>
      <w:r>
        <w:rPr/>
        <w:t>详见附件：项目人员组成表</w:t>
      </w:r>
    </w:p>
    <w:p>
      <w:pPr>
        <w:pStyle w:val="null3"/>
        <w:ind w:firstLine="960"/>
      </w:pPr>
      <w:r>
        <w:rPr/>
        <w:t>详见附件：法定代表人授权书1</w:t>
      </w:r>
    </w:p>
    <w:p>
      <w:pPr>
        <w:pStyle w:val="null3"/>
        <w:ind w:firstLine="960"/>
      </w:pPr>
      <w:r>
        <w:rPr/>
        <w:t>详见附件：分项报价表1</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w:t>
      </w:r>
    </w:p>
    <w:p>
      <w:pPr>
        <w:pStyle w:val="null3"/>
        <w:ind w:firstLine="960"/>
      </w:pPr>
      <w:r>
        <w:rPr/>
        <w:t>详见附件：供应商情况表</w:t>
      </w:r>
    </w:p>
    <w:p>
      <w:pPr>
        <w:pStyle w:val="null3"/>
        <w:ind w:firstLine="960"/>
      </w:pPr>
      <w:r>
        <w:rPr/>
        <w:t>详见附件：技术偏离表</w:t>
      </w:r>
    </w:p>
    <w:p>
      <w:pPr>
        <w:pStyle w:val="null3"/>
        <w:ind w:firstLine="960"/>
      </w:pPr>
      <w:r>
        <w:rPr/>
        <w:t>详见附件：商务偏离表</w:t>
      </w:r>
    </w:p>
    <w:p>
      <w:pPr>
        <w:pStyle w:val="null3"/>
        <w:ind w:firstLine="960"/>
      </w:pPr>
      <w:r>
        <w:rPr/>
        <w:t>详见附件：近年完成的类似项目情况</w:t>
      </w:r>
    </w:p>
    <w:p>
      <w:pPr>
        <w:pStyle w:val="null3"/>
        <w:ind w:firstLine="960"/>
      </w:pPr>
      <w:r>
        <w:rPr/>
        <w:t>详见附件：拒绝商业贿赂承诺书</w:t>
      </w:r>
    </w:p>
    <w:p>
      <w:pPr>
        <w:pStyle w:val="null3"/>
        <w:ind w:firstLine="960"/>
      </w:pPr>
      <w:r>
        <w:rPr/>
        <w:t>详见附件：无不良信用记录承诺函</w:t>
      </w:r>
    </w:p>
    <w:p>
      <w:pPr>
        <w:pStyle w:val="null3"/>
        <w:ind w:firstLine="960"/>
      </w:pPr>
      <w:r>
        <w:rPr/>
        <w:t>详见附件：项目人员组成表</w:t>
      </w:r>
    </w:p>
    <w:p>
      <w:pPr>
        <w:pStyle w:val="null3"/>
        <w:ind w:firstLine="960"/>
      </w:pPr>
      <w:r>
        <w:rPr/>
        <w:t>详见附件：法定代表人授权书1</w:t>
      </w:r>
    </w:p>
    <w:p>
      <w:pPr>
        <w:pStyle w:val="null3"/>
        <w:ind w:firstLine="960"/>
      </w:pPr>
      <w:r>
        <w:rPr/>
        <w:t>详见附件：分项报价表1</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详见附件：法定代表人授权书1</w:t>
      </w:r>
    </w:p>
    <w:p>
      <w:pPr>
        <w:pStyle w:val="null3"/>
        <w:ind w:firstLine="960"/>
      </w:pPr>
      <w:r>
        <w:rPr/>
        <w:t>详见附件：法定代表人证明书</w:t>
      </w:r>
    </w:p>
    <w:p>
      <w:pPr>
        <w:pStyle w:val="null3"/>
        <w:ind w:firstLine="960"/>
      </w:pPr>
      <w:r>
        <w:rPr/>
        <w:t>详见附件：分项报价表1</w:t>
      </w:r>
    </w:p>
    <w:p>
      <w:pPr>
        <w:pStyle w:val="null3"/>
        <w:ind w:firstLine="960"/>
      </w:pPr>
      <w:r>
        <w:rPr/>
        <w:t>详见附件：供应商情况表</w:t>
      </w:r>
    </w:p>
    <w:p>
      <w:pPr>
        <w:pStyle w:val="null3"/>
        <w:ind w:firstLine="960"/>
      </w:pPr>
      <w:r>
        <w:rPr/>
        <w:t>详见附件：技术偏离表</w:t>
      </w:r>
    </w:p>
    <w:p>
      <w:pPr>
        <w:pStyle w:val="null3"/>
        <w:ind w:firstLine="960"/>
      </w:pPr>
      <w:r>
        <w:rPr/>
        <w:t>详见附件：商务偏离表</w:t>
      </w:r>
    </w:p>
    <w:p>
      <w:pPr>
        <w:pStyle w:val="null3"/>
        <w:ind w:firstLine="960"/>
      </w:pPr>
      <w:r>
        <w:rPr/>
        <w:t>详见附件：近年完成的类似项目情况</w:t>
      </w:r>
    </w:p>
    <w:p>
      <w:pPr>
        <w:pStyle w:val="null3"/>
        <w:ind w:firstLine="960"/>
      </w:pPr>
      <w:r>
        <w:rPr/>
        <w:t>详见附件：拒绝商业贿赂承诺书</w:t>
      </w:r>
    </w:p>
    <w:p>
      <w:pPr>
        <w:pStyle w:val="null3"/>
        <w:ind w:firstLine="960"/>
      </w:pPr>
      <w:r>
        <w:rPr/>
        <w:t>详见附件：无不良信用记录承诺函</w:t>
      </w:r>
    </w:p>
    <w:p>
      <w:pPr>
        <w:pStyle w:val="null3"/>
        <w:ind w:firstLine="960"/>
      </w:pPr>
      <w:r>
        <w:rPr/>
        <w:t>详见附件：项目人员组成表</w:t>
      </w:r>
    </w:p>
    <w:p>
      <w:pPr>
        <w:pStyle w:val="null3"/>
      </w:pPr>
      <w:r>
        <w:rPr/>
        <w:t xml:space="preserve"> </w:t>
      </w:r>
    </w:p>
    <w:p>
      <w:pPr>
        <w:pStyle w:val="null3"/>
        <w:jc w:val="center"/>
        <w:outlineLvl w:val="1"/>
      </w:pPr>
      <w:r>
        <w:rPr>
          <w:b/>
          <w:sz w:val="36"/>
        </w:rPr>
        <w:t>第7章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