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市级机关局域网改造项目</w:t>
      </w:r>
    </w:p>
    <w:p>
      <w:pPr>
        <w:pStyle w:val="null3"/>
        <w:jc w:val="center"/>
        <w:outlineLvl w:val="2"/>
      </w:pPr>
      <w:r>
        <w:rPr>
          <w:b/>
          <w:sz w:val="28"/>
        </w:rPr>
        <w:t>采购项目编号：</w:t>
      </w:r>
      <w:r>
        <w:rPr>
          <w:b/>
          <w:sz w:val="28"/>
        </w:rPr>
        <w:t>HHZB2024-GK-010</w:t>
      </w:r>
      <w:r>
        <w:br/>
      </w:r>
      <w:r>
        <w:br/>
      </w:r>
      <w:r>
        <w:br/>
      </w:r>
    </w:p>
    <w:p>
      <w:pPr>
        <w:pStyle w:val="null3"/>
        <w:jc w:val="center"/>
        <w:outlineLvl w:val="2"/>
      </w:pPr>
      <w:r>
        <w:rPr>
          <w:b/>
          <w:sz w:val="28"/>
        </w:rPr>
        <w:t>铜川市政务信息化服务中心</w:t>
      </w:r>
    </w:p>
    <w:p>
      <w:pPr>
        <w:pStyle w:val="null3"/>
        <w:jc w:val="center"/>
        <w:outlineLvl w:val="2"/>
      </w:pPr>
      <w:r>
        <w:rPr>
          <w:b/>
          <w:sz w:val="28"/>
        </w:rPr>
        <w:t>陕西瀚海昱源企业管理咨询有限公司</w:t>
      </w:r>
      <w:r>
        <w:rPr>
          <w:b/>
          <w:sz w:val="28"/>
        </w:rPr>
        <w:t>共同编制</w:t>
      </w:r>
    </w:p>
    <w:p>
      <w:pPr>
        <w:pStyle w:val="null3"/>
        <w:jc w:val="center"/>
        <w:outlineLvl w:val="2"/>
      </w:pPr>
      <w:r>
        <w:rPr>
          <w:b/>
          <w:sz w:val="28"/>
        </w:rPr>
        <w:t>2024年01月15日</w:t>
      </w:r>
    </w:p>
    <w:p>
      <w:pPr>
        <w:pStyle w:val="null3"/>
      </w:pPr>
      <w:r>
        <w:rPr/>
        <w:t xml:space="preserve"> </w:t>
      </w:r>
    </w:p>
    <w:p>
      <w:pPr>
        <w:pStyle w:val="null3"/>
        <w:jc w:val="center"/>
        <w:outlineLvl w:val="1"/>
      </w:pPr>
      <w:r>
        <w:rPr>
          <w:b/>
          <w:sz w:val="36"/>
        </w:rPr>
        <w:t>第一章 投标邀请</w:t>
      </w:r>
    </w:p>
    <w:p>
      <w:pPr>
        <w:pStyle w:val="null3"/>
        <w:ind w:firstLine="480"/>
      </w:pPr>
      <w:r>
        <w:rPr/>
        <w:t>陕西瀚海昱源企业管理咨询有限公司</w:t>
      </w:r>
      <w:r>
        <w:rPr/>
        <w:t>（以下简称“代理机构”）受</w:t>
      </w:r>
      <w:r>
        <w:rPr/>
        <w:t>铜川市政务信息化服务中心</w:t>
      </w:r>
      <w:r>
        <w:rPr/>
        <w:t>委托，拟对</w:t>
      </w:r>
      <w:r>
        <w:rPr/>
        <w:t>市级机关局域网改造项目</w:t>
      </w:r>
      <w:r>
        <w:rPr/>
        <w:t>进行国内公开招标，兹邀请符合本次招标要求的供应商参加投标。</w:t>
      </w:r>
    </w:p>
    <w:p>
      <w:pPr>
        <w:pStyle w:val="null3"/>
        <w:outlineLvl w:val="2"/>
      </w:pPr>
      <w:r>
        <w:rPr>
          <w:b/>
          <w:sz w:val="28"/>
        </w:rPr>
        <w:t>一、采购项目编号：</w:t>
      </w:r>
      <w:r>
        <w:rPr>
          <w:b/>
          <w:sz w:val="28"/>
        </w:rPr>
        <w:t>HHZB2024-GK-010</w:t>
      </w:r>
    </w:p>
    <w:p>
      <w:pPr>
        <w:pStyle w:val="null3"/>
        <w:outlineLvl w:val="2"/>
      </w:pPr>
      <w:r>
        <w:rPr>
          <w:b/>
          <w:sz w:val="28"/>
        </w:rPr>
        <w:t>二、采购项目名称：</w:t>
      </w:r>
      <w:r>
        <w:rPr>
          <w:b/>
          <w:sz w:val="28"/>
        </w:rPr>
        <w:t>市级机关局域网改造项目</w:t>
      </w:r>
    </w:p>
    <w:p>
      <w:pPr>
        <w:pStyle w:val="null3"/>
        <w:outlineLvl w:val="2"/>
      </w:pPr>
      <w:r>
        <w:rPr>
          <w:b/>
          <w:sz w:val="28"/>
        </w:rPr>
        <w:t>三、招标项目简介</w:t>
      </w:r>
    </w:p>
    <w:p>
      <w:pPr>
        <w:pStyle w:val="null3"/>
        <w:ind w:firstLine="480"/>
      </w:pPr>
      <w:r>
        <w:rPr/>
        <w:t>铜川市市级机关局域网改造</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2022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间段的社会保障资金缴存单据或社保机构开具的社会保险参保缴费情况证明。成立时间至提交响应文件截止时间不足一个月或依法不需要缴纳社会保障资金的投标人应提供相关文件证明。</w:t>
      </w:r>
    </w:p>
    <w:p>
      <w:pPr>
        <w:pStyle w:val="null3"/>
      </w:pPr>
      <w:r>
        <w:rPr/>
        <w:t>4、税收缴纳证明：提供已缴纳的 2023年1月1日以来任意时间段的纳税证明或完税证明，纳税证明或完税证明上应有代收机构或税务机关的公章或业务专用章。依法免税的投标人应提供相关文件证明。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6、信用记录：经查，投标人未被列入“信用中国”网站记录的“失信被执行 人”或“重大税收违法失信主体”名单；不处于“中国政府采购网”记录的“政府采购严重违法失信行为记录名单”中的禁止参加政府采购活动期间。</w:t>
      </w:r>
    </w:p>
    <w:p>
      <w:pPr>
        <w:pStyle w:val="null3"/>
      </w:pPr>
      <w:r>
        <w:rPr/>
        <w:t>7、法定代表人授权委托书：法定代表人参加开标的，须提供法定代表人身份证明；法定代表人授权他人参加开标的，须提供法定代表人授权委托书，被授权代表本单位证明：有效的劳动合同或开标截止前六个月内任意一个月养老保险缴纳证明。（法人参加只需提供法定代表人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铜川市政务信息化服务中心</w:t>
      </w:r>
    </w:p>
    <w:p>
      <w:pPr>
        <w:pStyle w:val="null3"/>
      </w:pPr>
      <w:r>
        <w:rPr/>
        <w:t xml:space="preserve"> 地址： </w:t>
      </w:r>
      <w:r>
        <w:rPr/>
        <w:t>铜川市正阳路9号</w:t>
      </w:r>
    </w:p>
    <w:p>
      <w:pPr>
        <w:pStyle w:val="null3"/>
      </w:pPr>
      <w:r>
        <w:rPr/>
        <w:t xml:space="preserve"> 邮编： </w:t>
      </w:r>
      <w:r>
        <w:rPr/>
        <w:t>/</w:t>
      </w:r>
    </w:p>
    <w:p>
      <w:pPr>
        <w:pStyle w:val="null3"/>
      </w:pPr>
      <w:r>
        <w:rPr/>
        <w:t xml:space="preserve"> 联系人： </w:t>
      </w:r>
      <w:r>
        <w:rPr/>
        <w:t>铜川市政务信息化服务中心经办</w:t>
      </w:r>
    </w:p>
    <w:p>
      <w:pPr>
        <w:pStyle w:val="null3"/>
      </w:pPr>
      <w:r>
        <w:rPr/>
        <w:t xml:space="preserve"> 联系电话： </w:t>
      </w:r>
      <w:r>
        <w:rPr/>
        <w:t>3183142</w:t>
      </w:r>
    </w:p>
    <w:p>
      <w:pPr>
        <w:pStyle w:val="null3"/>
        <w:outlineLvl w:val="2"/>
      </w:pPr>
      <w:r>
        <w:rPr>
          <w:b/>
          <w:sz w:val="28"/>
        </w:rPr>
        <w:t>代理机构：</w:t>
      </w:r>
      <w:r>
        <w:rPr>
          <w:b/>
          <w:sz w:val="28"/>
        </w:rPr>
        <w:t>陕西瀚海昱源企业管理咨询有限公司</w:t>
      </w:r>
    </w:p>
    <w:p>
      <w:pPr>
        <w:pStyle w:val="null3"/>
      </w:pPr>
      <w:r>
        <w:rPr/>
        <w:t xml:space="preserve"> 地址： </w:t>
      </w:r>
      <w:r>
        <w:rPr/>
        <w:t>西安市雁塔区唐延南路8号泰维智链中心一期酷派产业园B栋202室</w:t>
      </w:r>
    </w:p>
    <w:p>
      <w:pPr>
        <w:pStyle w:val="null3"/>
      </w:pPr>
      <w:r>
        <w:rPr/>
        <w:t xml:space="preserve"> 邮编： </w:t>
      </w:r>
      <w:r>
        <w:rPr/>
        <w:t>/</w:t>
      </w:r>
    </w:p>
    <w:p>
      <w:pPr>
        <w:pStyle w:val="null3"/>
      </w:pPr>
      <w:r>
        <w:rPr/>
        <w:t xml:space="preserve"> 联系人： </w:t>
      </w:r>
      <w:r>
        <w:rPr/>
        <w:t>潘工</w:t>
      </w:r>
    </w:p>
    <w:p>
      <w:pPr>
        <w:pStyle w:val="null3"/>
      </w:pPr>
      <w:r>
        <w:rPr/>
        <w:t xml:space="preserve"> 联系电话： </w:t>
      </w:r>
      <w:r>
        <w:rPr/>
        <w:t>029-87309603</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采购包1：2,107,480.00元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代理服务费收费标准：中标单位在领取中标通知书前，须向采购代理机构支付招标代理服务费，招标代理服务费由采购人与采购代理机构约定： 参照国家计委关于印发《招标代理服务收费管理暂行办法》的通知（计价格〔2002〕1980号）、《国家发展和改革委员会办公厅关于招标代理服务收费有关问题的通知》（发改办价格〔2003〕857号）规定标准向中标（成交）供应商收取代理服务费、不足8000元的按8000元收取。 中标单位的招标代理服务费交纳信息 银行户名：陕西瀚海昱源企业管理咨询有限公司 开户银行：招商银行股份有限公司西安分公司营业部 账 号：129914053710601 联 系 人：田琳 联系电话：029-87309603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踏勘时间：2024-01-23 09:00:00</w:t>
            </w:r>
          </w:p>
          <w:p>
            <w:pPr>
              <w:pStyle w:val="null3"/>
              <w:ind w:firstLine="975"/>
            </w:pPr>
            <w:r>
              <w:rPr/>
              <w:t>踏勘地点：项目实施地点</w:t>
            </w:r>
          </w:p>
          <w:p>
            <w:pPr>
              <w:pStyle w:val="null3"/>
              <w:ind w:firstLine="975"/>
            </w:pPr>
            <w:r>
              <w:rPr/>
              <w:t>联系人：王工</w:t>
            </w:r>
          </w:p>
          <w:p>
            <w:pPr>
              <w:pStyle w:val="null3"/>
              <w:ind w:firstLine="975"/>
            </w:pPr>
            <w:r>
              <w:rPr/>
              <w:t>联系电话号码：18691495531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铜川市政务信息化服务中心</w:t>
      </w:r>
      <w:r>
        <w:rPr/>
        <w:t>和</w:t>
      </w:r>
      <w:r>
        <w:rPr/>
        <w:t>陕西瀚海昱源企业管理咨询有限公司</w:t>
      </w:r>
      <w:r>
        <w:rPr/>
        <w:t>享有。对招标文件中供应商参加本次政府采购活动应当具备的条件，招标项目技术、服务、商务及其他要求，评标细则及标准由</w:t>
      </w:r>
      <w:r>
        <w:rPr/>
        <w:t>铜川市政务信息化服务中心</w:t>
      </w:r>
      <w:r>
        <w:rPr/>
        <w:t>负责解释。除上述招标文件内容，其他内容由</w:t>
      </w:r>
      <w:r>
        <w:rPr/>
        <w:t>陕西瀚海昱源企业管理咨询有限公司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铜川市政务信息化服务中心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陕西瀚海昱源企业管理咨询有限公司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由采购人和供应商共同对项目进行验收。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陕西瀚海昱源企业管理咨询有限公司</w:t>
      </w:r>
      <w:r>
        <w:rPr/>
        <w:t xml:space="preserve"> 负责答复；供应商对除采购需求外的采购文件的询问、质疑由</w:t>
      </w:r>
      <w:r>
        <w:rPr/>
        <w:t>陕西瀚海昱源企业管理咨询有限公司</w:t>
      </w:r>
      <w:r>
        <w:rPr/>
        <w:t xml:space="preserve"> 负责答复；供应商对采购过程、采购结果的询问、质疑由 </w:t>
      </w:r>
      <w:r>
        <w:rPr/>
        <w:t>陕西瀚海昱源企业管理咨询有限公司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联系人：潘工</w:t>
      </w:r>
    </w:p>
    <w:p>
      <w:pPr>
        <w:pStyle w:val="null3"/>
      </w:pPr>
      <w:r>
        <w:rPr/>
        <w:t>联系电话：029-87309603</w:t>
      </w:r>
    </w:p>
    <w:p>
      <w:pPr>
        <w:pStyle w:val="null3"/>
      </w:pPr>
      <w:r>
        <w:rPr/>
        <w:t>地址：西安市雁塔区唐延南路8号泰维智链中心一期酷派产业园B栋202室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市局机关局域网改造</w:t>
      </w:r>
    </w:p>
    <w:p>
      <w:pPr>
        <w:pStyle w:val="null3"/>
        <w:outlineLvl w:val="2"/>
      </w:pPr>
      <w:r>
        <w:rPr>
          <w:b/>
          <w:sz w:val="28"/>
        </w:rPr>
        <w:t>3.2采购内容</w:t>
      </w:r>
    </w:p>
    <w:p>
      <w:pPr>
        <w:pStyle w:val="null3"/>
      </w:pPr>
      <w:r>
        <w:rPr/>
        <w:t>采购包1：</w:t>
      </w:r>
    </w:p>
    <w:p>
      <w:pPr>
        <w:pStyle w:val="null3"/>
      </w:pPr>
      <w:r>
        <w:rPr/>
        <w:t>采购包预算金额（元）: 2,107,480.00</w:t>
      </w:r>
    </w:p>
    <w:p>
      <w:pPr>
        <w:pStyle w:val="null3"/>
      </w:pPr>
      <w:r>
        <w:rPr/>
        <w:t>采购包最高限价（元）: 2,107,480.00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主核心交换设备</w:t>
            </w:r>
          </w:p>
        </w:tc>
        <w:tc>
          <w:tcPr>
            <w:tcW w:type="dxa" w:w="831"/>
          </w:tcPr>
          <w:p>
            <w:pPr>
              <w:pStyle w:val="null3"/>
              <w:jc w:val="right"/>
            </w:pPr>
            <w:r>
              <w:rPr/>
              <w:t>1.00</w:t>
            </w:r>
          </w:p>
        </w:tc>
        <w:tc>
          <w:tcPr>
            <w:tcW w:type="dxa" w:w="831"/>
          </w:tcPr>
          <w:p>
            <w:pPr>
              <w:pStyle w:val="null3"/>
              <w:jc w:val="right"/>
            </w:pPr>
            <w:r>
              <w:rPr/>
              <w:t>285,180.00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备核心交换机</w:t>
            </w:r>
          </w:p>
        </w:tc>
        <w:tc>
          <w:tcPr>
            <w:tcW w:type="dxa" w:w="831"/>
          </w:tcPr>
          <w:p>
            <w:pPr>
              <w:pStyle w:val="null3"/>
              <w:jc w:val="right"/>
            </w:pPr>
            <w:r>
              <w:rPr/>
              <w:t>1.00</w:t>
            </w:r>
          </w:p>
        </w:tc>
        <w:tc>
          <w:tcPr>
            <w:tcW w:type="dxa" w:w="831"/>
          </w:tcPr>
          <w:p>
            <w:pPr>
              <w:pStyle w:val="null3"/>
              <w:jc w:val="right"/>
            </w:pPr>
            <w:r>
              <w:rPr/>
              <w:t>275,100.00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西院核心交换机</w:t>
            </w:r>
          </w:p>
        </w:tc>
        <w:tc>
          <w:tcPr>
            <w:tcW w:type="dxa" w:w="831"/>
          </w:tcPr>
          <w:p>
            <w:pPr>
              <w:pStyle w:val="null3"/>
              <w:jc w:val="right"/>
            </w:pPr>
            <w:r>
              <w:rPr/>
              <w:t>1.00</w:t>
            </w:r>
          </w:p>
        </w:tc>
        <w:tc>
          <w:tcPr>
            <w:tcW w:type="dxa" w:w="831"/>
          </w:tcPr>
          <w:p>
            <w:pPr>
              <w:pStyle w:val="null3"/>
              <w:jc w:val="right"/>
            </w:pPr>
            <w:r>
              <w:rPr/>
              <w:t>176,400.00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4口ONU</w:t>
            </w:r>
          </w:p>
        </w:tc>
        <w:tc>
          <w:tcPr>
            <w:tcW w:type="dxa" w:w="831"/>
          </w:tcPr>
          <w:p>
            <w:pPr>
              <w:pStyle w:val="null3"/>
              <w:jc w:val="right"/>
            </w:pPr>
            <w:r>
              <w:rPr/>
              <w:t>600.00</w:t>
            </w:r>
          </w:p>
        </w:tc>
        <w:tc>
          <w:tcPr>
            <w:tcW w:type="dxa" w:w="831"/>
          </w:tcPr>
          <w:p>
            <w:pPr>
              <w:pStyle w:val="null3"/>
              <w:jc w:val="right"/>
            </w:pPr>
            <w:r>
              <w:rPr/>
              <w:t>630,000.00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8口ONU</w:t>
            </w:r>
          </w:p>
        </w:tc>
        <w:tc>
          <w:tcPr>
            <w:tcW w:type="dxa" w:w="831"/>
          </w:tcPr>
          <w:p>
            <w:pPr>
              <w:pStyle w:val="null3"/>
              <w:jc w:val="right"/>
            </w:pPr>
            <w:r>
              <w:rPr/>
              <w:t>120.00</w:t>
            </w:r>
          </w:p>
        </w:tc>
        <w:tc>
          <w:tcPr>
            <w:tcW w:type="dxa" w:w="831"/>
          </w:tcPr>
          <w:p>
            <w:pPr>
              <w:pStyle w:val="null3"/>
              <w:jc w:val="right"/>
            </w:pPr>
            <w:r>
              <w:rPr/>
              <w:t>264,000.00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网管软件</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网管服务器</w:t>
            </w:r>
          </w:p>
        </w:tc>
        <w:tc>
          <w:tcPr>
            <w:tcW w:type="dxa" w:w="831"/>
          </w:tcPr>
          <w:p>
            <w:pPr>
              <w:pStyle w:val="null3"/>
              <w:jc w:val="right"/>
            </w:pPr>
            <w:r>
              <w:rPr/>
              <w:t>1.00</w:t>
            </w:r>
          </w:p>
        </w:tc>
        <w:tc>
          <w:tcPr>
            <w:tcW w:type="dxa" w:w="831"/>
          </w:tcPr>
          <w:p>
            <w:pPr>
              <w:pStyle w:val="null3"/>
              <w:jc w:val="right"/>
            </w:pPr>
            <w:r>
              <w:rPr/>
              <w:t>33,000.00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集成费</w:t>
            </w:r>
          </w:p>
        </w:tc>
        <w:tc>
          <w:tcPr>
            <w:tcW w:type="dxa" w:w="831"/>
          </w:tcPr>
          <w:p>
            <w:pPr>
              <w:pStyle w:val="null3"/>
              <w:jc w:val="right"/>
            </w:pPr>
            <w:r>
              <w:rPr/>
              <w:t>1.00</w:t>
            </w:r>
          </w:p>
        </w:tc>
        <w:tc>
          <w:tcPr>
            <w:tcW w:type="dxa" w:w="831"/>
          </w:tcPr>
          <w:p>
            <w:pPr>
              <w:pStyle w:val="null3"/>
              <w:jc w:val="right"/>
            </w:pPr>
            <w:r>
              <w:rPr/>
              <w:t>388,800.00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标的名称：主核心交换设备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b/>
                      <w:sz w:val="24"/>
                    </w:rPr>
                    <w:t>核心产品</w:t>
                  </w:r>
                  <w:r>
                    <w:rPr>
                      <w:rFonts w:ascii="宋体" w:hAnsi="宋体" w:cs="宋体" w:eastAsia="宋体"/>
                      <w:sz w:val="24"/>
                    </w:rPr>
                    <w:t>》主核心交换设备（</w:t>
                  </w:r>
                  <w:r>
                    <w:rPr>
                      <w:rFonts w:ascii="calibri" w:hAnsi="calibri" w:cs="calibri" w:eastAsia="calibri"/>
                      <w:sz w:val="24"/>
                    </w:rPr>
                    <w:t>1</w:t>
                  </w:r>
                  <w:r>
                    <w:rPr>
                      <w:rFonts w:ascii="宋体" w:hAnsi="宋体" w:cs="宋体" w:eastAsia="宋体"/>
                      <w:sz w:val="24"/>
                    </w:rPr>
                    <w:t>台）</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主控交换容量</w:t>
                  </w:r>
                  <w:r>
                    <w:rPr>
                      <w:rFonts w:ascii="宋体" w:hAnsi="宋体" w:cs="宋体" w:eastAsia="宋体"/>
                      <w:sz w:val="24"/>
                    </w:rPr>
                    <w:t>≥5.9Tbit/s，每业务槽位最大带宽≥450Gbit/s；</w:t>
                  </w:r>
                </w:p>
                <w:p>
                  <w:pPr>
                    <w:pStyle w:val="null3"/>
                    <w:jc w:val="both"/>
                  </w:pPr>
                  <w:r>
                    <w:rPr>
                      <w:rFonts w:ascii="宋体" w:hAnsi="宋体" w:cs="宋体" w:eastAsia="宋体"/>
                      <w:sz w:val="24"/>
                    </w:rPr>
                    <w:t>2.主控引擎模块≥2，满足1+1冗余，业务插槽数≥6，最大OLT PON口数≥144；</w:t>
                  </w:r>
                </w:p>
                <w:p>
                  <w:pPr>
                    <w:pStyle w:val="null3"/>
                    <w:jc w:val="both"/>
                  </w:pPr>
                  <w:r>
                    <w:rPr>
                      <w:rFonts w:ascii="宋体" w:hAnsi="宋体" w:cs="宋体" w:eastAsia="宋体"/>
                      <w:sz w:val="24"/>
                    </w:rPr>
                    <w:t>3.要求支持电源模块冗余，主控引擎、电源、接口模块、风扇等关键部件可热插拔；</w:t>
                  </w:r>
                </w:p>
                <w:p>
                  <w:pPr>
                    <w:pStyle w:val="null3"/>
                    <w:spacing w:after="120"/>
                    <w:jc w:val="both"/>
                  </w:pPr>
                  <w:r>
                    <w:rPr>
                      <w:rFonts w:ascii="宋体" w:hAnsi="宋体" w:cs="宋体" w:eastAsia="宋体"/>
                      <w:sz w:val="24"/>
                    </w:rPr>
                    <w:t>#</w:t>
                  </w:r>
                  <w:r>
                    <w:rPr>
                      <w:rFonts w:ascii="宋体" w:hAnsi="宋体" w:cs="宋体" w:eastAsia="宋体"/>
                      <w:sz w:val="24"/>
                    </w:rPr>
                    <w:t>4.接入要求：提供PON、10G PON、以太网接入能力；</w:t>
                  </w:r>
                </w:p>
                <w:p>
                  <w:pPr>
                    <w:pStyle w:val="null3"/>
                    <w:jc w:val="both"/>
                  </w:pPr>
                  <w:r>
                    <w:rPr>
                      <w:rFonts w:ascii="宋体" w:hAnsi="宋体" w:cs="宋体" w:eastAsia="宋体"/>
                      <w:sz w:val="24"/>
                    </w:rPr>
                    <w:t>5.MAC表项 ≥1M，学习速率≥128K/S，IPv4 FIB ≥3M，IPv6 FIB ≥1M，ARP表项 ≥256K；</w:t>
                  </w:r>
                </w:p>
                <w:p>
                  <w:pPr>
                    <w:pStyle w:val="null3"/>
                    <w:jc w:val="both"/>
                  </w:pPr>
                  <w:r>
                    <w:rPr>
                      <w:rFonts w:ascii="宋体" w:hAnsi="宋体" w:cs="宋体" w:eastAsia="宋体"/>
                      <w:sz w:val="24"/>
                    </w:rPr>
                    <w:t>6.OLT应支持IGMP Snooping或IGMP Proxy功能；</w:t>
                  </w:r>
                </w:p>
                <w:p>
                  <w:pPr>
                    <w:pStyle w:val="null3"/>
                    <w:jc w:val="both"/>
                  </w:pPr>
                  <w:r>
                    <w:rPr>
                      <w:rFonts w:ascii="宋体" w:hAnsi="宋体" w:cs="宋体" w:eastAsia="宋体"/>
                      <w:sz w:val="24"/>
                    </w:rPr>
                    <w:t>7.OLT应支持对广播帧和组播帧的抑制功能；</w:t>
                  </w:r>
                </w:p>
                <w:p>
                  <w:pPr>
                    <w:pStyle w:val="null3"/>
                    <w:jc w:val="both"/>
                  </w:pPr>
                  <w:r>
                    <w:rPr>
                      <w:rFonts w:ascii="宋体" w:hAnsi="宋体" w:cs="宋体" w:eastAsia="宋体"/>
                      <w:sz w:val="24"/>
                    </w:rPr>
                    <w:t>8.OLT帧过滤功能：OLT应支持基于端口或MAC地址的数据帧过滤功能</w:t>
                  </w:r>
                </w:p>
                <w:p>
                  <w:pPr>
                    <w:pStyle w:val="null3"/>
                    <w:jc w:val="both"/>
                  </w:pPr>
                  <w:r>
                    <w:rPr>
                      <w:rFonts w:ascii="宋体" w:hAnsi="宋体" w:cs="宋体" w:eastAsia="宋体"/>
                      <w:sz w:val="24"/>
                    </w:rPr>
                    <w:t>9.组播：OLT应支持对广播帧和组播帧的抑制功能；</w:t>
                  </w:r>
                </w:p>
                <w:p>
                  <w:pPr>
                    <w:pStyle w:val="null3"/>
                    <w:jc w:val="both"/>
                  </w:pPr>
                  <w:r>
                    <w:rPr>
                      <w:rFonts w:ascii="宋体" w:hAnsi="宋体" w:cs="宋体" w:eastAsia="宋体"/>
                      <w:sz w:val="24"/>
                    </w:rPr>
                    <w:t>10.PON功能：支持DBA功能、QoS功能、FEC前向纠错、流氓ONU检测等PON功能；</w:t>
                  </w:r>
                </w:p>
                <w:p>
                  <w:pPr>
                    <w:pStyle w:val="null3"/>
                    <w:jc w:val="both"/>
                  </w:pPr>
                  <w:r>
                    <w:rPr>
                      <w:rFonts w:ascii="宋体" w:hAnsi="宋体" w:cs="宋体" w:eastAsia="宋体"/>
                      <w:sz w:val="24"/>
                    </w:rPr>
                    <w:t>11.单台实配双主控、双电源，千兆电口≥48，千兆光口≥48，万兆光口≥32，万兆PON OLT光接口≥48；</w:t>
                  </w:r>
                  <w:r>
                    <w:rPr>
                      <w:rFonts w:ascii="宋体" w:hAnsi="宋体" w:cs="宋体" w:eastAsia="宋体"/>
                      <w:sz w:val="24"/>
                    </w:rPr>
                    <w:t>千兆单模光模块</w:t>
                  </w:r>
                  <w:r>
                    <w:rPr>
                      <w:rFonts w:ascii="宋体" w:hAnsi="宋体" w:cs="宋体" w:eastAsia="宋体"/>
                      <w:sz w:val="24"/>
                    </w:rPr>
                    <w:t>≥</w:t>
                  </w:r>
                  <w:r>
                    <w:rPr>
                      <w:rFonts w:ascii="宋体" w:hAnsi="宋体" w:cs="宋体" w:eastAsia="宋体"/>
                      <w:sz w:val="24"/>
                    </w:rPr>
                    <w:t>48，万兆单模光模块</w:t>
                  </w:r>
                  <w:r>
                    <w:rPr>
                      <w:rFonts w:ascii="宋体" w:hAnsi="宋体" w:cs="宋体" w:eastAsia="宋体"/>
                      <w:sz w:val="24"/>
                    </w:rPr>
                    <w:t>≥</w:t>
                  </w:r>
                  <w:r>
                    <w:rPr>
                      <w:rFonts w:ascii="宋体" w:hAnsi="宋体" w:cs="宋体" w:eastAsia="宋体"/>
                      <w:sz w:val="24"/>
                    </w:rPr>
                    <w:t>24，</w:t>
                  </w:r>
                  <w:r>
                    <w:rPr>
                      <w:rFonts w:ascii="宋体" w:hAnsi="宋体" w:cs="宋体" w:eastAsia="宋体"/>
                      <w:sz w:val="24"/>
                    </w:rPr>
                    <w:t>万兆堆叠线缆</w:t>
                  </w:r>
                  <w:r>
                    <w:rPr>
                      <w:rFonts w:ascii="宋体" w:hAnsi="宋体" w:cs="宋体" w:eastAsia="宋体"/>
                      <w:sz w:val="24"/>
                    </w:rPr>
                    <w:t>（</w:t>
                  </w:r>
                  <w:r>
                    <w:rPr>
                      <w:rFonts w:ascii="宋体" w:hAnsi="宋体" w:cs="宋体" w:eastAsia="宋体"/>
                      <w:sz w:val="24"/>
                    </w:rPr>
                    <w:t>3M）</w:t>
                  </w:r>
                  <w:r>
                    <w:rPr>
                      <w:rFonts w:ascii="宋体" w:hAnsi="宋体" w:cs="宋体" w:eastAsia="宋体"/>
                      <w:sz w:val="24"/>
                    </w:rPr>
                    <w:t>≥</w:t>
                  </w:r>
                  <w:r>
                    <w:rPr>
                      <w:rFonts w:ascii="宋体" w:hAnsi="宋体" w:cs="宋体" w:eastAsia="宋体"/>
                      <w:sz w:val="24"/>
                    </w:rPr>
                    <w:t>8，OLT光模块</w:t>
                  </w:r>
                  <w:r>
                    <w:rPr>
                      <w:rFonts w:ascii="宋体" w:hAnsi="宋体" w:cs="宋体" w:eastAsia="宋体"/>
                      <w:sz w:val="24"/>
                    </w:rPr>
                    <w:t>≥</w:t>
                  </w:r>
                  <w:r>
                    <w:rPr>
                      <w:rFonts w:ascii="宋体" w:hAnsi="宋体" w:cs="宋体" w:eastAsia="宋体"/>
                      <w:sz w:val="24"/>
                    </w:rPr>
                    <w:t>48，光纤固定衰减器（5dB）</w:t>
                  </w:r>
                  <w:r>
                    <w:rPr>
                      <w:rFonts w:ascii="宋体" w:hAnsi="宋体" w:cs="宋体" w:eastAsia="宋体"/>
                      <w:sz w:val="24"/>
                    </w:rPr>
                    <w:t>≥</w:t>
                  </w:r>
                  <w:r>
                    <w:rPr>
                      <w:rFonts w:ascii="宋体" w:hAnsi="宋体" w:cs="宋体" w:eastAsia="宋体"/>
                      <w:sz w:val="24"/>
                    </w:rPr>
                    <w:t>84，2:16分光器</w:t>
                  </w:r>
                  <w:r>
                    <w:rPr>
                      <w:rFonts w:ascii="宋体" w:hAnsi="宋体" w:cs="宋体" w:eastAsia="宋体"/>
                      <w:sz w:val="24"/>
                    </w:rPr>
                    <w:t>≥</w:t>
                  </w:r>
                  <w:r>
                    <w:rPr>
                      <w:rFonts w:ascii="宋体" w:hAnsi="宋体" w:cs="宋体" w:eastAsia="宋体"/>
                      <w:sz w:val="24"/>
                    </w:rPr>
                    <w:t>42。</w:t>
                  </w:r>
                </w:p>
                <w:p>
                  <w:pPr>
                    <w:pStyle w:val="null3"/>
                    <w:jc w:val="both"/>
                  </w:pPr>
                  <w:r>
                    <w:rPr>
                      <w:rFonts w:ascii="宋体" w:hAnsi="宋体" w:cs="宋体" w:eastAsia="宋体"/>
                      <w:sz w:val="24"/>
                    </w:rPr>
                    <w:t>12.资质要求：提供入网证和检测报告。</w:t>
                  </w:r>
                </w:p>
              </w:tc>
            </w:tr>
          </w:tbl>
          <w:p/>
        </w:tc>
      </w:tr>
    </w:tbl>
    <w:p>
      <w:pPr>
        <w:pStyle w:val="null3"/>
      </w:pPr>
      <w:r>
        <w:rPr/>
        <w:t>标的名称：备核心交换机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备核心交换机（</w:t>
                  </w:r>
                  <w:r>
                    <w:rPr>
                      <w:rFonts w:ascii="calibri" w:hAnsi="calibri" w:cs="calibri" w:eastAsia="calibri"/>
                      <w:sz w:val="24"/>
                    </w:rPr>
                    <w:t>1</w:t>
                  </w:r>
                  <w:r>
                    <w:rPr>
                      <w:rFonts w:ascii="宋体" w:hAnsi="宋体" w:cs="宋体" w:eastAsia="宋体"/>
                      <w:sz w:val="24"/>
                    </w:rPr>
                    <w:t>台）</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主控交换容量</w:t>
                  </w:r>
                  <w:r>
                    <w:rPr>
                      <w:rFonts w:ascii="宋体" w:hAnsi="宋体" w:cs="宋体" w:eastAsia="宋体"/>
                      <w:sz w:val="24"/>
                    </w:rPr>
                    <w:t>≥5.9Tbit/s，每业务槽位最大带宽≥450Gbit/s；</w:t>
                  </w:r>
                </w:p>
                <w:p>
                  <w:pPr>
                    <w:pStyle w:val="null3"/>
                    <w:jc w:val="both"/>
                  </w:pPr>
                  <w:r>
                    <w:rPr>
                      <w:rFonts w:ascii="宋体" w:hAnsi="宋体" w:cs="宋体" w:eastAsia="宋体"/>
                      <w:sz w:val="24"/>
                    </w:rPr>
                    <w:t>2.主控引擎模块≥2，满足1+1冗余，业务插槽数≥6，最大OLT PON口数≥144；</w:t>
                  </w:r>
                </w:p>
                <w:p>
                  <w:pPr>
                    <w:pStyle w:val="null3"/>
                    <w:jc w:val="both"/>
                  </w:pPr>
                  <w:r>
                    <w:rPr>
                      <w:rFonts w:ascii="宋体" w:hAnsi="宋体" w:cs="宋体" w:eastAsia="宋体"/>
                      <w:sz w:val="24"/>
                    </w:rPr>
                    <w:t>3.要求支持电源模块冗余，主控引擎、电源、接口模块、风扇等关键部件可热插拔；</w:t>
                  </w:r>
                </w:p>
                <w:p>
                  <w:pPr>
                    <w:pStyle w:val="null3"/>
                    <w:spacing w:after="120"/>
                    <w:jc w:val="both"/>
                  </w:pPr>
                  <w:r>
                    <w:rPr>
                      <w:rFonts w:ascii="宋体" w:hAnsi="宋体" w:cs="宋体" w:eastAsia="宋体"/>
                      <w:sz w:val="24"/>
                    </w:rPr>
                    <w:t>#</w:t>
                  </w:r>
                  <w:r>
                    <w:rPr>
                      <w:rFonts w:ascii="宋体" w:hAnsi="宋体" w:cs="宋体" w:eastAsia="宋体"/>
                      <w:sz w:val="24"/>
                    </w:rPr>
                    <w:t>4.接入要求：提供PON、10G PON、以太网接入能力；</w:t>
                  </w:r>
                </w:p>
                <w:p>
                  <w:pPr>
                    <w:pStyle w:val="null3"/>
                    <w:jc w:val="both"/>
                  </w:pPr>
                  <w:r>
                    <w:rPr>
                      <w:rFonts w:ascii="宋体" w:hAnsi="宋体" w:cs="宋体" w:eastAsia="宋体"/>
                      <w:sz w:val="24"/>
                    </w:rPr>
                    <w:t>5.MAC表项 ≥1M，学习速率≥128K/S，IPv4 FIB ≥3M，IPv6 FIB ≥1M，ARP表项 ≥256K；</w:t>
                  </w:r>
                </w:p>
                <w:p>
                  <w:pPr>
                    <w:pStyle w:val="null3"/>
                    <w:jc w:val="both"/>
                  </w:pPr>
                  <w:r>
                    <w:rPr>
                      <w:rFonts w:ascii="宋体" w:hAnsi="宋体" w:cs="宋体" w:eastAsia="宋体"/>
                      <w:sz w:val="24"/>
                    </w:rPr>
                    <w:t>6.OLT应支持IGMP Snooping或IGMP Proxy功能；</w:t>
                  </w:r>
                </w:p>
                <w:p>
                  <w:pPr>
                    <w:pStyle w:val="null3"/>
                    <w:jc w:val="both"/>
                  </w:pPr>
                  <w:r>
                    <w:rPr>
                      <w:rFonts w:ascii="宋体" w:hAnsi="宋体" w:cs="宋体" w:eastAsia="宋体"/>
                      <w:sz w:val="24"/>
                    </w:rPr>
                    <w:t>7.OLT应支持对广播帧和组播帧的抑制功能；</w:t>
                  </w:r>
                </w:p>
                <w:p>
                  <w:pPr>
                    <w:pStyle w:val="null3"/>
                    <w:jc w:val="both"/>
                  </w:pPr>
                  <w:r>
                    <w:rPr>
                      <w:rFonts w:ascii="宋体" w:hAnsi="宋体" w:cs="宋体" w:eastAsia="宋体"/>
                      <w:sz w:val="24"/>
                    </w:rPr>
                    <w:t>8.OLT帧过滤功能：OLT应支持基于端口或MAC地址的数据帧过滤功能</w:t>
                  </w:r>
                </w:p>
                <w:p>
                  <w:pPr>
                    <w:pStyle w:val="null3"/>
                    <w:jc w:val="both"/>
                  </w:pPr>
                  <w:r>
                    <w:rPr>
                      <w:rFonts w:ascii="宋体" w:hAnsi="宋体" w:cs="宋体" w:eastAsia="宋体"/>
                      <w:sz w:val="24"/>
                    </w:rPr>
                    <w:t>9.组播：OLT应支持对广播帧和组播帧的抑制功能；</w:t>
                  </w:r>
                </w:p>
                <w:p>
                  <w:pPr>
                    <w:pStyle w:val="null3"/>
                    <w:jc w:val="both"/>
                  </w:pPr>
                  <w:r>
                    <w:rPr>
                      <w:rFonts w:ascii="宋体" w:hAnsi="宋体" w:cs="宋体" w:eastAsia="宋体"/>
                      <w:sz w:val="24"/>
                    </w:rPr>
                    <w:t>10.PON功能：支持DBA功能、QoS功能、FEC前向纠错、流氓ONU检测等PON功能；</w:t>
                  </w:r>
                </w:p>
                <w:p>
                  <w:pPr>
                    <w:pStyle w:val="null3"/>
                    <w:jc w:val="both"/>
                  </w:pPr>
                  <w:r>
                    <w:rPr>
                      <w:rFonts w:ascii="宋体" w:hAnsi="宋体" w:cs="宋体" w:eastAsia="宋体"/>
                      <w:sz w:val="24"/>
                    </w:rPr>
                    <w:t>11.单台实配双主控、双电源，千兆电口≥48，千兆光口≥48，万兆光口≥32，万兆PON OLT光接口≥48；</w:t>
                  </w:r>
                  <w:r>
                    <w:rPr>
                      <w:rFonts w:ascii="宋体" w:hAnsi="宋体" w:cs="宋体" w:eastAsia="宋体"/>
                      <w:sz w:val="24"/>
                    </w:rPr>
                    <w:t>千兆单模光模块</w:t>
                  </w:r>
                  <w:r>
                    <w:rPr>
                      <w:rFonts w:ascii="宋体" w:hAnsi="宋体" w:cs="宋体" w:eastAsia="宋体"/>
                      <w:sz w:val="24"/>
                    </w:rPr>
                    <w:t>≥</w:t>
                  </w:r>
                  <w:r>
                    <w:rPr>
                      <w:rFonts w:ascii="宋体" w:hAnsi="宋体" w:cs="宋体" w:eastAsia="宋体"/>
                      <w:sz w:val="24"/>
                    </w:rPr>
                    <w:t>48，万兆单模光模块</w:t>
                  </w:r>
                  <w:r>
                    <w:rPr>
                      <w:rFonts w:ascii="宋体" w:hAnsi="宋体" w:cs="宋体" w:eastAsia="宋体"/>
                      <w:sz w:val="24"/>
                    </w:rPr>
                    <w:t>≥</w:t>
                  </w:r>
                  <w:r>
                    <w:rPr>
                      <w:rFonts w:ascii="宋体" w:hAnsi="宋体" w:cs="宋体" w:eastAsia="宋体"/>
                      <w:sz w:val="24"/>
                    </w:rPr>
                    <w:t>24，</w:t>
                  </w:r>
                  <w:r>
                    <w:rPr>
                      <w:rFonts w:ascii="宋体" w:hAnsi="宋体" w:cs="宋体" w:eastAsia="宋体"/>
                      <w:sz w:val="24"/>
                    </w:rPr>
                    <w:t>万兆堆叠线缆</w:t>
                  </w:r>
                  <w:r>
                    <w:rPr>
                      <w:rFonts w:ascii="宋体" w:hAnsi="宋体" w:cs="宋体" w:eastAsia="宋体"/>
                      <w:sz w:val="24"/>
                    </w:rPr>
                    <w:t>（</w:t>
                  </w:r>
                  <w:r>
                    <w:rPr>
                      <w:rFonts w:ascii="宋体" w:hAnsi="宋体" w:cs="宋体" w:eastAsia="宋体"/>
                      <w:sz w:val="24"/>
                    </w:rPr>
                    <w:t>3M）</w:t>
                  </w:r>
                  <w:r>
                    <w:rPr>
                      <w:rFonts w:ascii="宋体" w:hAnsi="宋体" w:cs="宋体" w:eastAsia="宋体"/>
                      <w:sz w:val="24"/>
                    </w:rPr>
                    <w:t>≥</w:t>
                  </w:r>
                  <w:r>
                    <w:rPr>
                      <w:rFonts w:ascii="宋体" w:hAnsi="宋体" w:cs="宋体" w:eastAsia="宋体"/>
                      <w:sz w:val="24"/>
                    </w:rPr>
                    <w:t>8，OLT光模块</w:t>
                  </w:r>
                  <w:r>
                    <w:rPr>
                      <w:rFonts w:ascii="宋体" w:hAnsi="宋体" w:cs="宋体" w:eastAsia="宋体"/>
                      <w:sz w:val="24"/>
                    </w:rPr>
                    <w:t>≥</w:t>
                  </w:r>
                  <w:r>
                    <w:rPr>
                      <w:rFonts w:ascii="宋体" w:hAnsi="宋体" w:cs="宋体" w:eastAsia="宋体"/>
                      <w:sz w:val="24"/>
                    </w:rPr>
                    <w:t>48。</w:t>
                  </w:r>
                </w:p>
              </w:tc>
            </w:tr>
          </w:tbl>
          <w:p/>
        </w:tc>
      </w:tr>
    </w:tbl>
    <w:p>
      <w:pPr>
        <w:pStyle w:val="null3"/>
      </w:pPr>
      <w:r>
        <w:rPr/>
        <w:t>标的名称：西院核心交换机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西院核心交换机（</w:t>
                  </w:r>
                  <w:r>
                    <w:rPr>
                      <w:rFonts w:ascii="calibri" w:hAnsi="calibri" w:cs="calibri" w:eastAsia="calibri"/>
                      <w:sz w:val="24"/>
                    </w:rPr>
                    <w:t>1</w:t>
                  </w:r>
                  <w:r>
                    <w:rPr>
                      <w:rFonts w:ascii="宋体" w:hAnsi="宋体" w:cs="宋体" w:eastAsia="宋体"/>
                      <w:sz w:val="24"/>
                    </w:rPr>
                    <w:t>台）</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1.主控交换容量≥5.9Tbit/s，每业务槽位最大带宽≥450Gbit/s；</w:t>
                  </w:r>
                </w:p>
                <w:p>
                  <w:pPr>
                    <w:pStyle w:val="null3"/>
                    <w:jc w:val="both"/>
                  </w:pPr>
                  <w:r>
                    <w:rPr>
                      <w:rFonts w:ascii="宋体" w:hAnsi="宋体" w:cs="宋体" w:eastAsia="宋体"/>
                      <w:sz w:val="24"/>
                    </w:rPr>
                    <w:t>2.主控引擎模块≥2，满足1+1冗余，业务插槽数≥6，最大OLT PON口数≥144；</w:t>
                  </w:r>
                </w:p>
                <w:p>
                  <w:pPr>
                    <w:pStyle w:val="null3"/>
                    <w:jc w:val="both"/>
                  </w:pPr>
                  <w:r>
                    <w:rPr>
                      <w:rFonts w:ascii="宋体" w:hAnsi="宋体" w:cs="宋体" w:eastAsia="宋体"/>
                      <w:sz w:val="24"/>
                    </w:rPr>
                    <w:t>3.要求支持电源模块冗余，主控引擎、电源、接口模块、风扇等关键部件可热插拔；</w:t>
                  </w:r>
                </w:p>
                <w:p>
                  <w:pPr>
                    <w:pStyle w:val="null3"/>
                    <w:spacing w:after="120"/>
                    <w:jc w:val="both"/>
                  </w:pPr>
                  <w:r>
                    <w:rPr>
                      <w:rFonts w:ascii="宋体" w:hAnsi="宋体" w:cs="宋体" w:eastAsia="宋体"/>
                      <w:sz w:val="24"/>
                    </w:rPr>
                    <w:t>#</w:t>
                  </w:r>
                  <w:r>
                    <w:rPr>
                      <w:rFonts w:ascii="宋体" w:hAnsi="宋体" w:cs="宋体" w:eastAsia="宋体"/>
                      <w:sz w:val="24"/>
                    </w:rPr>
                    <w:t>4.接入要求：提供PON、10G PON、以太网接入能力；</w:t>
                  </w:r>
                </w:p>
                <w:p>
                  <w:pPr>
                    <w:pStyle w:val="null3"/>
                    <w:jc w:val="both"/>
                  </w:pPr>
                  <w:r>
                    <w:rPr>
                      <w:rFonts w:ascii="宋体" w:hAnsi="宋体" w:cs="宋体" w:eastAsia="宋体"/>
                      <w:sz w:val="24"/>
                    </w:rPr>
                    <w:t>5.MAC表项 ≥1M，学习速率≥128K/S，IPv4 FIB ≥3M，IPv6 FIB ≥1M，ARP表项 ≥256K；</w:t>
                  </w:r>
                </w:p>
                <w:p>
                  <w:pPr>
                    <w:pStyle w:val="null3"/>
                    <w:jc w:val="both"/>
                  </w:pPr>
                  <w:r>
                    <w:rPr>
                      <w:rFonts w:ascii="宋体" w:hAnsi="宋体" w:cs="宋体" w:eastAsia="宋体"/>
                      <w:sz w:val="24"/>
                    </w:rPr>
                    <w:t>6.OLT应支持IGMP Snooping或IGMP Proxy功能；</w:t>
                  </w:r>
                </w:p>
                <w:p>
                  <w:pPr>
                    <w:pStyle w:val="null3"/>
                    <w:jc w:val="both"/>
                  </w:pPr>
                  <w:r>
                    <w:rPr>
                      <w:rFonts w:ascii="宋体" w:hAnsi="宋体" w:cs="宋体" w:eastAsia="宋体"/>
                      <w:sz w:val="24"/>
                    </w:rPr>
                    <w:t>7.OLT应支持对广播帧和组播帧的抑制功能；</w:t>
                  </w:r>
                </w:p>
                <w:p>
                  <w:pPr>
                    <w:pStyle w:val="null3"/>
                    <w:jc w:val="both"/>
                  </w:pPr>
                  <w:r>
                    <w:rPr>
                      <w:rFonts w:ascii="宋体" w:hAnsi="宋体" w:cs="宋体" w:eastAsia="宋体"/>
                      <w:sz w:val="24"/>
                    </w:rPr>
                    <w:t>8.OLT帧过滤功能：OLT应支持基于端口或MAC地址的数据帧过滤功能</w:t>
                  </w:r>
                </w:p>
                <w:p>
                  <w:pPr>
                    <w:pStyle w:val="null3"/>
                    <w:jc w:val="both"/>
                  </w:pPr>
                  <w:r>
                    <w:rPr>
                      <w:rFonts w:ascii="宋体" w:hAnsi="宋体" w:cs="宋体" w:eastAsia="宋体"/>
                      <w:sz w:val="24"/>
                    </w:rPr>
                    <w:t>9.组播：OLT应支持对广播帧和组播帧的抑制功能；</w:t>
                  </w:r>
                </w:p>
                <w:p>
                  <w:pPr>
                    <w:pStyle w:val="null3"/>
                    <w:jc w:val="both"/>
                  </w:pPr>
                  <w:r>
                    <w:rPr>
                      <w:rFonts w:ascii="宋体" w:hAnsi="宋体" w:cs="宋体" w:eastAsia="宋体"/>
                      <w:sz w:val="24"/>
                    </w:rPr>
                    <w:t>10.PON功能：支持DBA功能、QoS功能、FEC前向纠错、流氓ONU检测等PON功能；</w:t>
                  </w:r>
                </w:p>
                <w:p>
                  <w:pPr>
                    <w:pStyle w:val="null3"/>
                    <w:jc w:val="both"/>
                  </w:pPr>
                  <w:r>
                    <w:rPr>
                      <w:rFonts w:ascii="宋体" w:hAnsi="宋体" w:cs="宋体" w:eastAsia="宋体"/>
                      <w:sz w:val="24"/>
                    </w:rPr>
                    <w:t>11.单台实配双主控、双电源，千兆电口≥48，千兆光口≥48，万兆光口≥16，万兆PON OLT光接口≥24</w:t>
                  </w:r>
                  <w:r>
                    <w:rPr>
                      <w:rFonts w:ascii="宋体" w:hAnsi="宋体" w:cs="宋体" w:eastAsia="宋体"/>
                      <w:sz w:val="24"/>
                    </w:rPr>
                    <w:t>，</w:t>
                  </w:r>
                  <w:r>
                    <w:rPr>
                      <w:rFonts w:ascii="宋体" w:hAnsi="宋体" w:cs="宋体" w:eastAsia="宋体"/>
                      <w:sz w:val="24"/>
                    </w:rPr>
                    <w:t>千兆单模光模块</w:t>
                  </w:r>
                  <w:r>
                    <w:rPr>
                      <w:rFonts w:ascii="宋体" w:hAnsi="宋体" w:cs="宋体" w:eastAsia="宋体"/>
                      <w:sz w:val="24"/>
                    </w:rPr>
                    <w:t>≥</w:t>
                  </w:r>
                  <w:r>
                    <w:rPr>
                      <w:rFonts w:ascii="宋体" w:hAnsi="宋体" w:cs="宋体" w:eastAsia="宋体"/>
                      <w:sz w:val="24"/>
                    </w:rPr>
                    <w:t>48，万兆单模光模块</w:t>
                  </w:r>
                  <w:r>
                    <w:rPr>
                      <w:rFonts w:ascii="宋体" w:hAnsi="宋体" w:cs="宋体" w:eastAsia="宋体"/>
                      <w:sz w:val="24"/>
                    </w:rPr>
                    <w:t>≥</w:t>
                  </w:r>
                  <w:r>
                    <w:rPr>
                      <w:rFonts w:ascii="宋体" w:hAnsi="宋体" w:cs="宋体" w:eastAsia="宋体"/>
                      <w:sz w:val="24"/>
                    </w:rPr>
                    <w:t>12，</w:t>
                  </w:r>
                  <w:r>
                    <w:rPr>
                      <w:rFonts w:ascii="宋体" w:hAnsi="宋体" w:cs="宋体" w:eastAsia="宋体"/>
                      <w:sz w:val="24"/>
                    </w:rPr>
                    <w:t>万兆堆叠线缆</w:t>
                  </w:r>
                  <w:r>
                    <w:rPr>
                      <w:rFonts w:ascii="宋体" w:hAnsi="宋体" w:cs="宋体" w:eastAsia="宋体"/>
                      <w:sz w:val="24"/>
                    </w:rPr>
                    <w:t>（</w:t>
                  </w:r>
                  <w:r>
                    <w:rPr>
                      <w:rFonts w:ascii="宋体" w:hAnsi="宋体" w:cs="宋体" w:eastAsia="宋体"/>
                      <w:sz w:val="24"/>
                    </w:rPr>
                    <w:t>3M）</w:t>
                  </w:r>
                  <w:r>
                    <w:rPr>
                      <w:rFonts w:ascii="宋体" w:hAnsi="宋体" w:cs="宋体" w:eastAsia="宋体"/>
                      <w:sz w:val="24"/>
                    </w:rPr>
                    <w:t>≥</w:t>
                  </w:r>
                  <w:r>
                    <w:rPr>
                      <w:rFonts w:ascii="宋体" w:hAnsi="宋体" w:cs="宋体" w:eastAsia="宋体"/>
                      <w:sz w:val="24"/>
                    </w:rPr>
                    <w:t>4，OLT光模块</w:t>
                  </w:r>
                  <w:r>
                    <w:rPr>
                      <w:rFonts w:ascii="宋体" w:hAnsi="宋体" w:cs="宋体" w:eastAsia="宋体"/>
                      <w:sz w:val="24"/>
                    </w:rPr>
                    <w:t>≥</w:t>
                  </w:r>
                  <w:r>
                    <w:rPr>
                      <w:rFonts w:ascii="宋体" w:hAnsi="宋体" w:cs="宋体" w:eastAsia="宋体"/>
                      <w:sz w:val="24"/>
                    </w:rPr>
                    <w:t>24，光纤固定衰减器（5dB）</w:t>
                  </w:r>
                  <w:r>
                    <w:rPr>
                      <w:rFonts w:ascii="宋体" w:hAnsi="宋体" w:cs="宋体" w:eastAsia="宋体"/>
                      <w:sz w:val="24"/>
                    </w:rPr>
                    <w:t>≥</w:t>
                  </w:r>
                  <w:r>
                    <w:rPr>
                      <w:rFonts w:ascii="宋体" w:hAnsi="宋体" w:cs="宋体" w:eastAsia="宋体"/>
                      <w:sz w:val="24"/>
                    </w:rPr>
                    <w:t>16，1:16分光器</w:t>
                  </w:r>
                  <w:r>
                    <w:rPr>
                      <w:rFonts w:ascii="宋体" w:hAnsi="宋体" w:cs="宋体" w:eastAsia="宋体"/>
                      <w:sz w:val="24"/>
                    </w:rPr>
                    <w:t>≥</w:t>
                  </w:r>
                  <w:r>
                    <w:rPr>
                      <w:rFonts w:ascii="宋体" w:hAnsi="宋体" w:cs="宋体" w:eastAsia="宋体"/>
                      <w:sz w:val="24"/>
                    </w:rPr>
                    <w:t>16。</w:t>
                  </w:r>
                </w:p>
              </w:tc>
            </w:tr>
          </w:tbl>
          <w:p/>
        </w:tc>
      </w:tr>
    </w:tbl>
    <w:p>
      <w:pPr>
        <w:pStyle w:val="null3"/>
      </w:pPr>
      <w:r>
        <w:rPr/>
        <w:t>标的名称：4口ONU</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w:t>
                  </w:r>
                  <w:r>
                    <w:rPr>
                      <w:rFonts w:ascii="宋体" w:hAnsi="宋体" w:cs="宋体" w:eastAsia="宋体"/>
                      <w:sz w:val="24"/>
                    </w:rPr>
                    <w:t>口</w:t>
                  </w:r>
                  <w:r>
                    <w:rPr>
                      <w:rFonts w:ascii="calibri" w:hAnsi="calibri" w:cs="calibri" w:eastAsia="calibri"/>
                      <w:sz w:val="24"/>
                    </w:rPr>
                    <w:t>ONU</w:t>
                  </w:r>
                  <w:r>
                    <w:rPr>
                      <w:rFonts w:ascii="宋体" w:hAnsi="宋体" w:cs="宋体" w:eastAsia="宋体"/>
                      <w:sz w:val="24"/>
                    </w:rPr>
                    <w:t>（</w:t>
                  </w:r>
                  <w:r>
                    <w:rPr>
                      <w:rFonts w:ascii="宋体" w:hAnsi="宋体" w:cs="宋体" w:eastAsia="宋体"/>
                      <w:sz w:val="24"/>
                    </w:rPr>
                    <w:t>6</w:t>
                  </w:r>
                  <w:r>
                    <w:rPr>
                      <w:rFonts w:ascii="宋体" w:hAnsi="宋体" w:cs="宋体" w:eastAsia="宋体"/>
                      <w:sz w:val="24"/>
                    </w:rPr>
                    <w:t>00台）</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1.网络侧接口:XGSPON/10G EPON端口≥1；用户侧接口:GE电口≥4,POTS接口≥1，支持无线WIFI6功能。</w:t>
                  </w:r>
                </w:p>
                <w:p>
                  <w:pPr>
                    <w:pStyle w:val="null3"/>
                    <w:jc w:val="both"/>
                  </w:pPr>
                  <w:r>
                    <w:rPr>
                      <w:rFonts w:ascii="宋体" w:hAnsi="宋体" w:cs="宋体" w:eastAsia="宋体"/>
                      <w:sz w:val="24"/>
                    </w:rPr>
                    <w:t>2.功能特性：支持动态带宽分配（DBA），包括SR和NSR方式；支持前向纠错功能（FEC）；支持ONU光功率检测；支持流氓ONU检测。</w:t>
                  </w:r>
                </w:p>
                <w:p>
                  <w:pPr>
                    <w:pStyle w:val="null3"/>
                    <w:jc w:val="both"/>
                  </w:pPr>
                  <w:r>
                    <w:rPr>
                      <w:rFonts w:ascii="宋体" w:hAnsi="宋体" w:cs="宋体" w:eastAsia="宋体"/>
                      <w:sz w:val="24"/>
                    </w:rPr>
                    <w:t>3.组播：支持IGMP-Snooping组播功能；支持组播VLAN。</w:t>
                  </w:r>
                </w:p>
                <w:p>
                  <w:pPr>
                    <w:pStyle w:val="null3"/>
                    <w:jc w:val="both"/>
                  </w:pPr>
                  <w:r>
                    <w:rPr>
                      <w:rFonts w:ascii="宋体" w:hAnsi="宋体" w:cs="宋体" w:eastAsia="宋体"/>
                      <w:sz w:val="24"/>
                    </w:rPr>
                    <w:t>4.VLAN功能：ONU应支持通过VLAN实现用户隔离和业务隔离，并支持对不信任的VLAN ID进行丢弃或切换处理。ONU应支持根据物理端口和以太网封装协议划分VLAN。</w:t>
                  </w:r>
                </w:p>
                <w:p>
                  <w:pPr>
                    <w:pStyle w:val="null3"/>
                    <w:jc w:val="both"/>
                  </w:pPr>
                  <w:r>
                    <w:rPr>
                      <w:rFonts w:ascii="宋体" w:hAnsi="宋体" w:cs="宋体" w:eastAsia="宋体"/>
                      <w:sz w:val="24"/>
                    </w:rPr>
                    <w:t>5.帧过滤功能：ONU支持根据物理端口、以太网帧封装协议、源/目MAC地址、以太网优先级对上下行以太网数据帧进行过滤。</w:t>
                  </w:r>
                </w:p>
                <w:p>
                  <w:pPr>
                    <w:pStyle w:val="null3"/>
                    <w:jc w:val="both"/>
                  </w:pPr>
                  <w:r>
                    <w:rPr>
                      <w:rFonts w:ascii="宋体" w:hAnsi="宋体" w:cs="宋体" w:eastAsia="宋体"/>
                      <w:sz w:val="24"/>
                    </w:rPr>
                    <w:t>6.智能运维：支持远程关闭开启PON口光模块光发射机电源，支持PON口光模块参数告警。</w:t>
                  </w:r>
                </w:p>
              </w:tc>
            </w:tr>
          </w:tbl>
          <w:p/>
        </w:tc>
      </w:tr>
    </w:tbl>
    <w:p>
      <w:pPr>
        <w:pStyle w:val="null3"/>
      </w:pPr>
      <w:r>
        <w:rPr/>
        <w:t>标的名称：8口ONU</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8</w:t>
                  </w:r>
                  <w:r>
                    <w:rPr>
                      <w:rFonts w:ascii="宋体" w:hAnsi="宋体" w:cs="宋体" w:eastAsia="宋体"/>
                      <w:sz w:val="24"/>
                    </w:rPr>
                    <w:t>口</w:t>
                  </w:r>
                  <w:r>
                    <w:rPr>
                      <w:rFonts w:ascii="calibri" w:hAnsi="calibri" w:cs="calibri" w:eastAsia="calibri"/>
                      <w:sz w:val="24"/>
                    </w:rPr>
                    <w:t>ONU</w:t>
                  </w:r>
                  <w:r>
                    <w:rPr>
                      <w:rFonts w:ascii="宋体" w:hAnsi="宋体" w:cs="宋体" w:eastAsia="宋体"/>
                      <w:sz w:val="24"/>
                    </w:rPr>
                    <w:t>（</w:t>
                  </w:r>
                  <w:r>
                    <w:rPr>
                      <w:rFonts w:ascii="calibri" w:hAnsi="calibri" w:cs="calibri" w:eastAsia="calibri"/>
                      <w:sz w:val="24"/>
                    </w:rPr>
                    <w:t>POE</w:t>
                  </w:r>
                  <w:r>
                    <w:rPr>
                      <w:rFonts w:ascii="宋体" w:hAnsi="宋体" w:cs="宋体" w:eastAsia="宋体"/>
                      <w:sz w:val="24"/>
                    </w:rPr>
                    <w:t>）</w:t>
                  </w:r>
                  <w:r>
                    <w:rPr>
                      <w:rFonts w:ascii="宋体" w:hAnsi="宋体" w:cs="宋体" w:eastAsia="宋体"/>
                      <w:sz w:val="24"/>
                    </w:rPr>
                    <w:t>（</w:t>
                  </w:r>
                  <w:r>
                    <w:rPr>
                      <w:rFonts w:ascii="宋体" w:hAnsi="宋体" w:cs="宋体" w:eastAsia="宋体"/>
                      <w:sz w:val="24"/>
                    </w:rPr>
                    <w:t>120台）</w:t>
                  </w:r>
                </w:p>
                <w:p>
                  <w:pPr>
                    <w:pStyle w:val="null3"/>
                    <w:jc w:val="both"/>
                  </w:pP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1.网络侧接口:10G EPON/XGS-PON自适应接口≥1；用户侧接口:GE电口≥8，其中至少8个接口支持POE供电，每个PoE接口最大支持≥30W，总功率≥120W。</w:t>
                  </w:r>
                </w:p>
                <w:p>
                  <w:pPr>
                    <w:pStyle w:val="null3"/>
                    <w:jc w:val="both"/>
                  </w:pPr>
                  <w:r>
                    <w:rPr>
                      <w:rFonts w:ascii="宋体" w:hAnsi="宋体" w:cs="宋体" w:eastAsia="宋体"/>
                      <w:sz w:val="24"/>
                    </w:rPr>
                    <w:t>2.功能特性：支持动态带宽分配（DBA），包括SR和NSR方式；支持前向纠错功能（FEC）；支持ONU光功率检测；支持流氓ONU检测。</w:t>
                  </w:r>
                </w:p>
                <w:p>
                  <w:pPr>
                    <w:pStyle w:val="null3"/>
                    <w:jc w:val="both"/>
                  </w:pPr>
                  <w:r>
                    <w:rPr>
                      <w:rFonts w:ascii="宋体" w:hAnsi="宋体" w:cs="宋体" w:eastAsia="宋体"/>
                      <w:sz w:val="24"/>
                    </w:rPr>
                    <w:t>3.组播：支持IGMP-Snooping组播功能；支持组播VLAN。</w:t>
                  </w:r>
                </w:p>
                <w:p>
                  <w:pPr>
                    <w:pStyle w:val="null3"/>
                    <w:jc w:val="both"/>
                  </w:pPr>
                  <w:r>
                    <w:rPr>
                      <w:rFonts w:ascii="宋体" w:hAnsi="宋体" w:cs="宋体" w:eastAsia="宋体"/>
                      <w:sz w:val="24"/>
                    </w:rPr>
                    <w:t>4.VLAN功能：ONU应支持通过VLAN实现用户隔离和业务隔离，并支持对不信任的VLAN ID进行丢弃或切换处理。ONU应支持根据物理端口和以太网封装协议划分VLAN。</w:t>
                  </w:r>
                </w:p>
                <w:p>
                  <w:pPr>
                    <w:pStyle w:val="null3"/>
                    <w:jc w:val="both"/>
                  </w:pPr>
                  <w:r>
                    <w:rPr>
                      <w:rFonts w:ascii="宋体" w:hAnsi="宋体" w:cs="宋体" w:eastAsia="宋体"/>
                      <w:sz w:val="24"/>
                    </w:rPr>
                    <w:t>5.帧过滤功能：ONU支持根据物理端口、以太网帧封装协议、源/目MAC地址、以太网优先级对上下行以太网数据帧进行过滤。</w:t>
                  </w:r>
                </w:p>
                <w:p>
                  <w:pPr>
                    <w:pStyle w:val="null3"/>
                    <w:jc w:val="both"/>
                  </w:pPr>
                  <w:r>
                    <w:rPr>
                      <w:rFonts w:ascii="宋体" w:hAnsi="宋体" w:cs="宋体" w:eastAsia="宋体"/>
                      <w:sz w:val="24"/>
                    </w:rPr>
                    <w:t>6.支持用户环网检测功能：ONU应支持对用户侧端口是否成环的检测，防止环网形成。</w:t>
                  </w:r>
                </w:p>
                <w:p>
                  <w:pPr>
                    <w:pStyle w:val="null3"/>
                    <w:jc w:val="both"/>
                  </w:pPr>
                  <w:r>
                    <w:rPr>
                      <w:rFonts w:ascii="宋体" w:hAnsi="宋体" w:cs="宋体" w:eastAsia="宋体"/>
                      <w:sz w:val="24"/>
                    </w:rPr>
                    <w:t>7.智能运维：支持远程关闭开启PON口光模块光发射机电源，支持PON口光模块参数告警。</w:t>
                  </w:r>
                </w:p>
              </w:tc>
            </w:tr>
          </w:tbl>
          <w:p/>
        </w:tc>
      </w:tr>
    </w:tbl>
    <w:p>
      <w:pPr>
        <w:pStyle w:val="null3"/>
      </w:pPr>
      <w:r>
        <w:rPr/>
        <w:t>标的名称：网管软件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6</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网管软件</w:t>
                  </w:r>
                  <w:r>
                    <w:rPr>
                      <w:rFonts w:ascii="宋体" w:hAnsi="宋体" w:cs="宋体" w:eastAsia="宋体"/>
                      <w:sz w:val="24"/>
                    </w:rPr>
                    <w:t>（</w:t>
                  </w:r>
                  <w:r>
                    <w:rPr>
                      <w:rFonts w:ascii="宋体" w:hAnsi="宋体" w:cs="宋体" w:eastAsia="宋体"/>
                      <w:sz w:val="24"/>
                    </w:rPr>
                    <w:t>1套）</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w:t>
                  </w:r>
                  <w:r>
                    <w:rPr>
                      <w:rFonts w:ascii="宋体" w:hAnsi="宋体" w:cs="宋体" w:eastAsia="宋体"/>
                      <w:color w:val="000000"/>
                      <w:sz w:val="24"/>
                    </w:rPr>
                    <w:t>管理能力：</w:t>
                  </w:r>
                  <w:r>
                    <w:rPr>
                      <w:rFonts w:ascii="宋体" w:hAnsi="宋体" w:cs="宋体" w:eastAsia="宋体"/>
                      <w:color w:val="000000"/>
                      <w:sz w:val="24"/>
                    </w:rPr>
                    <w:t>PON节点最大管理能力可以达到8W以上，支持对大型PON网络业务运维监控。</w:t>
                  </w:r>
                </w:p>
                <w:p>
                  <w:pPr>
                    <w:pStyle w:val="null3"/>
                    <w:jc w:val="both"/>
                  </w:pPr>
                  <w:r>
                    <w:rPr>
                      <w:rFonts w:ascii="宋体" w:hAnsi="宋体" w:cs="宋体" w:eastAsia="宋体"/>
                      <w:color w:val="000000"/>
                      <w:sz w:val="24"/>
                    </w:rPr>
                    <w:t>2.分权管理：针对不同用户分配EPON设备、功能管理权限。</w:t>
                  </w:r>
                </w:p>
                <w:p>
                  <w:pPr>
                    <w:pStyle w:val="null3"/>
                    <w:jc w:val="both"/>
                  </w:pPr>
                  <w:r>
                    <w:rPr>
                      <w:rFonts w:ascii="宋体" w:hAnsi="宋体" w:cs="宋体" w:eastAsia="宋体"/>
                      <w:color w:val="000000"/>
                      <w:sz w:val="24"/>
                    </w:rPr>
                    <w:t>3.自定义首页：支持在默认视图首页定制展示PON网络信息，目前包含ONU设备状态概览。</w:t>
                  </w:r>
                </w:p>
                <w:p>
                  <w:pPr>
                    <w:pStyle w:val="null3"/>
                    <w:jc w:val="both"/>
                  </w:pPr>
                  <w:r>
                    <w:rPr>
                      <w:rFonts w:ascii="宋体" w:hAnsi="宋体" w:cs="宋体" w:eastAsia="宋体"/>
                      <w:color w:val="000000"/>
                      <w:sz w:val="24"/>
                    </w:rPr>
                    <w:t>4.EPON业务拓扑：自动发现PON网络拓扑。支持分层展示，可以查看EPON设备全局拓扑和OLT下的局部拓扑信息。</w:t>
                  </w:r>
                </w:p>
                <w:p>
                  <w:pPr>
                    <w:pStyle w:val="null3"/>
                    <w:jc w:val="both"/>
                  </w:pPr>
                  <w:r>
                    <w:rPr>
                      <w:rFonts w:ascii="宋体" w:hAnsi="宋体" w:cs="宋体" w:eastAsia="宋体"/>
                      <w:color w:val="000000"/>
                      <w:sz w:val="24"/>
                    </w:rPr>
                    <w:t>5.故障管理：支持ONU断电告警、静默告警、UNI链路告警等丰富的业务告警指标，全面覆盖对设备运行状态告警和操作变更告警。</w:t>
                  </w:r>
                </w:p>
                <w:p>
                  <w:pPr>
                    <w:pStyle w:val="null3"/>
                    <w:jc w:val="both"/>
                  </w:pPr>
                  <w:r>
                    <w:rPr>
                      <w:rFonts w:ascii="宋体" w:hAnsi="宋体" w:cs="宋体" w:eastAsia="宋体"/>
                      <w:color w:val="000000"/>
                      <w:sz w:val="24"/>
                    </w:rPr>
                    <w:t>6.EPON设备管理：支持查看网络中OLT设备、接口列表，并且能够对其进行组播业务配置。</w:t>
                  </w:r>
                </w:p>
                <w:p>
                  <w:pPr>
                    <w:pStyle w:val="null3"/>
                    <w:jc w:val="both"/>
                  </w:pPr>
                  <w:r>
                    <w:rPr>
                      <w:rFonts w:ascii="宋体" w:hAnsi="宋体" w:cs="宋体" w:eastAsia="宋体"/>
                      <w:color w:val="000000"/>
                      <w:sz w:val="24"/>
                    </w:rPr>
                    <w:t>7.ONU设备管理：设备列表展示全网ONU信息，提供选中ONU同步、导出、导出UNI配置等功能。支持配置管理ONU下UNI的VLAN信息。</w:t>
                  </w:r>
                </w:p>
                <w:p>
                  <w:pPr>
                    <w:pStyle w:val="null3"/>
                    <w:jc w:val="both"/>
                  </w:pPr>
                  <w:r>
                    <w:rPr>
                      <w:rFonts w:ascii="宋体" w:hAnsi="宋体" w:cs="宋体" w:eastAsia="宋体"/>
                      <w:color w:val="000000"/>
                      <w:sz w:val="24"/>
                    </w:rPr>
                    <w:t>8.性能管理：支持EPON设备多种指标监控，包括OLT光功率、各种接口速率、错包率等指标。</w:t>
                  </w:r>
                </w:p>
                <w:p>
                  <w:pPr>
                    <w:pStyle w:val="null3"/>
                    <w:jc w:val="both"/>
                  </w:pPr>
                  <w:r>
                    <w:rPr>
                      <w:rFonts w:ascii="宋体" w:hAnsi="宋体" w:cs="宋体" w:eastAsia="宋体"/>
                      <w:color w:val="000000"/>
                      <w:sz w:val="24"/>
                    </w:rPr>
                    <w:t>9.批量配置功能：支持批量配置OLT设备组播信息，批量配置OLT单板的OAM发现功能以及三重搅动模式，支持预配置OLT设备上ONU相关配置。</w:t>
                  </w:r>
                </w:p>
                <w:p>
                  <w:pPr>
                    <w:pStyle w:val="null3"/>
                    <w:jc w:val="both"/>
                  </w:pPr>
                  <w:r>
                    <w:rPr>
                      <w:rFonts w:ascii="宋体" w:hAnsi="宋体" w:cs="宋体" w:eastAsia="宋体"/>
                      <w:color w:val="000000"/>
                      <w:sz w:val="24"/>
                    </w:rPr>
                    <w:t>10.配置要求：本次实配以太网络管理授权</w:t>
                  </w:r>
                  <w:r>
                    <w:rPr>
                      <w:rFonts w:ascii="宋体" w:hAnsi="宋体" w:cs="宋体" w:eastAsia="宋体"/>
                      <w:sz w:val="24"/>
                    </w:rPr>
                    <w:t>≥</w:t>
                  </w:r>
                  <w:r>
                    <w:rPr>
                      <w:rFonts w:ascii="宋体" w:hAnsi="宋体" w:cs="宋体" w:eastAsia="宋体"/>
                      <w:color w:val="000000"/>
                      <w:sz w:val="24"/>
                    </w:rPr>
                    <w:t>100个，EPON网络管理授权</w:t>
                  </w:r>
                  <w:r>
                    <w:rPr>
                      <w:rFonts w:ascii="宋体" w:hAnsi="宋体" w:cs="宋体" w:eastAsia="宋体"/>
                      <w:sz w:val="24"/>
                    </w:rPr>
                    <w:t>≥</w:t>
                  </w:r>
                  <w:r>
                    <w:rPr>
                      <w:rFonts w:ascii="宋体" w:hAnsi="宋体" w:cs="宋体" w:eastAsia="宋体"/>
                      <w:color w:val="000000"/>
                      <w:sz w:val="24"/>
                    </w:rPr>
                    <w:t>1100个。</w:t>
                  </w:r>
                </w:p>
              </w:tc>
            </w:tr>
          </w:tbl>
          <w:p/>
        </w:tc>
      </w:tr>
    </w:tbl>
    <w:p>
      <w:pPr>
        <w:pStyle w:val="null3"/>
      </w:pPr>
      <w:r>
        <w:rPr/>
        <w:t>标的名称：网管服务器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7</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网管服务器</w:t>
                  </w:r>
                  <w:r>
                    <w:rPr>
                      <w:rFonts w:ascii="宋体" w:hAnsi="宋体" w:cs="宋体" w:eastAsia="宋体"/>
                      <w:sz w:val="24"/>
                    </w:rPr>
                    <w:t>（</w:t>
                  </w:r>
                  <w:r>
                    <w:rPr>
                      <w:rFonts w:ascii="宋体" w:hAnsi="宋体" w:cs="宋体" w:eastAsia="宋体"/>
                      <w:sz w:val="24"/>
                    </w:rPr>
                    <w:t>1台）</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1、基本要求：机架式，≥2U，标配原厂导轨；</w:t>
                  </w:r>
                </w:p>
                <w:p>
                  <w:pPr>
                    <w:pStyle w:val="null3"/>
                    <w:jc w:val="both"/>
                  </w:pPr>
                  <w:r>
                    <w:rPr>
                      <w:rFonts w:ascii="宋体" w:hAnsi="宋体" w:cs="宋体" w:eastAsia="宋体"/>
                      <w:sz w:val="24"/>
                    </w:rPr>
                    <w:t>2、CPU：配置2颗CPU性能不低于2.4GHz/16核/24MB/135W)；</w:t>
                  </w:r>
                </w:p>
                <w:p>
                  <w:pPr>
                    <w:pStyle w:val="null3"/>
                    <w:jc w:val="both"/>
                  </w:pPr>
                  <w:r>
                    <w:rPr>
                      <w:rFonts w:ascii="宋体" w:hAnsi="宋体" w:cs="宋体" w:eastAsia="宋体"/>
                      <w:sz w:val="24"/>
                    </w:rPr>
                    <w:t>3、内存：≥4*32GB DDR4-3200内存；</w:t>
                  </w:r>
                </w:p>
                <w:p>
                  <w:pPr>
                    <w:pStyle w:val="null3"/>
                    <w:jc w:val="both"/>
                  </w:pPr>
                  <w:r>
                    <w:rPr>
                      <w:rFonts w:ascii="宋体" w:hAnsi="宋体" w:cs="宋体" w:eastAsia="宋体"/>
                      <w:sz w:val="24"/>
                    </w:rPr>
                    <w:t>4、本地硬盘：配置不少于2块480GB SSD硬盘，配置不少于2块6TB SATA硬盘；</w:t>
                  </w:r>
                </w:p>
                <w:p>
                  <w:pPr>
                    <w:pStyle w:val="null3"/>
                    <w:jc w:val="both"/>
                  </w:pPr>
                  <w:r>
                    <w:rPr>
                      <w:rFonts w:ascii="宋体" w:hAnsi="宋体" w:cs="宋体" w:eastAsia="宋体"/>
                      <w:sz w:val="24"/>
                    </w:rPr>
                    <w:t>5、阵列卡：≥1个标配SAS RAID阵列卡，支持RAID0/1/10/5/6/50等；≥2GB缓存，支持缓存数据保护；</w:t>
                  </w:r>
                </w:p>
                <w:p>
                  <w:pPr>
                    <w:pStyle w:val="null3"/>
                    <w:jc w:val="both"/>
                  </w:pPr>
                  <w:r>
                    <w:rPr>
                      <w:rFonts w:ascii="宋体" w:hAnsi="宋体" w:cs="宋体" w:eastAsia="宋体"/>
                      <w:sz w:val="24"/>
                    </w:rPr>
                    <w:t>6、网络：配置不少于4端口千兆GE接口；</w:t>
                  </w:r>
                </w:p>
                <w:p>
                  <w:pPr>
                    <w:pStyle w:val="null3"/>
                    <w:jc w:val="both"/>
                  </w:pPr>
                  <w:r>
                    <w:rPr>
                      <w:rFonts w:ascii="宋体" w:hAnsi="宋体" w:cs="宋体" w:eastAsia="宋体"/>
                      <w:sz w:val="24"/>
                    </w:rPr>
                    <w:t>7、电源：配置≥2块800w冗余电源，支持电源热插拔，需满足满配运行状态需求。</w:t>
                  </w:r>
                </w:p>
              </w:tc>
            </w:tr>
          </w:tbl>
          <w:p/>
        </w:tc>
      </w:tr>
    </w:tbl>
    <w:p>
      <w:pPr>
        <w:pStyle w:val="null3"/>
      </w:pPr>
      <w:r>
        <w:rPr/>
        <w:t>标的名称：集成费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600"/>
              <w:gridCol w:w="176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8</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集成费</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网线</w:t>
                  </w:r>
                  <w:r>
                    <w:rPr>
                      <w:rFonts w:ascii="宋体" w:hAnsi="宋体" w:cs="宋体" w:eastAsia="宋体"/>
                      <w:color w:val="000000"/>
                      <w:sz w:val="24"/>
                    </w:rPr>
                    <w:t>：</w:t>
                  </w:r>
                  <w:r>
                    <w:rPr>
                      <w:rFonts w:ascii="宋体" w:hAnsi="宋体" w:cs="宋体" w:eastAsia="宋体"/>
                      <w:color w:val="000000"/>
                      <w:sz w:val="24"/>
                    </w:rPr>
                    <w:t>六类国标网线</w:t>
                  </w:r>
                </w:p>
                <w:p>
                  <w:pPr>
                    <w:pStyle w:val="null3"/>
                    <w:jc w:val="both"/>
                  </w:pPr>
                  <w:r>
                    <w:rPr>
                      <w:rFonts w:ascii="宋体" w:hAnsi="宋体" w:cs="宋体" w:eastAsia="宋体"/>
                      <w:color w:val="000000"/>
                      <w:sz w:val="24"/>
                    </w:rPr>
                    <w:t>光纤</w:t>
                  </w:r>
                  <w:r>
                    <w:rPr>
                      <w:rFonts w:ascii="宋体" w:hAnsi="宋体" w:cs="宋体" w:eastAsia="宋体"/>
                      <w:color w:val="000000"/>
                      <w:sz w:val="24"/>
                    </w:rPr>
                    <w:t>：</w:t>
                  </w:r>
                  <w:r>
                    <w:rPr>
                      <w:rFonts w:ascii="宋体" w:hAnsi="宋体" w:cs="宋体" w:eastAsia="宋体"/>
                      <w:color w:val="000000"/>
                      <w:sz w:val="24"/>
                    </w:rPr>
                    <w:t>多模光纤及熔接、跳线</w:t>
                  </w:r>
                </w:p>
                <w:p>
                  <w:pPr>
                    <w:pStyle w:val="null3"/>
                    <w:jc w:val="both"/>
                  </w:pPr>
                  <w:r>
                    <w:rPr>
                      <w:rFonts w:ascii="宋体" w:hAnsi="宋体" w:cs="宋体" w:eastAsia="宋体"/>
                      <w:color w:val="000000"/>
                      <w:sz w:val="24"/>
                    </w:rPr>
                    <w:t>线槽及辅材</w:t>
                  </w:r>
                  <w:r>
                    <w:rPr>
                      <w:rFonts w:ascii="宋体" w:hAnsi="宋体" w:cs="宋体" w:eastAsia="宋体"/>
                      <w:color w:val="000000"/>
                      <w:sz w:val="24"/>
                    </w:rPr>
                    <w:t>：</w:t>
                  </w:r>
                  <w:r>
                    <w:rPr>
                      <w:rFonts w:ascii="宋体" w:hAnsi="宋体" w:cs="宋体" w:eastAsia="宋体"/>
                      <w:color w:val="000000"/>
                      <w:sz w:val="24"/>
                    </w:rPr>
                    <w:t>3.9*1.9国标点线槽及辅材</w:t>
                  </w:r>
                </w:p>
                <w:p>
                  <w:pPr>
                    <w:pStyle w:val="null3"/>
                    <w:jc w:val="both"/>
                  </w:pPr>
                  <w:r>
                    <w:rPr>
                      <w:rFonts w:ascii="宋体" w:hAnsi="宋体" w:cs="宋体" w:eastAsia="宋体"/>
                      <w:sz w:val="24"/>
                    </w:rPr>
                    <w:t>技术实施规范要求</w:t>
                  </w:r>
                  <w:r>
                    <w:rPr>
                      <w:rFonts w:ascii="宋体" w:hAnsi="宋体" w:cs="宋体" w:eastAsia="宋体"/>
                      <w:sz w:val="24"/>
                    </w:rPr>
                    <w:t>：</w:t>
                  </w:r>
                </w:p>
                <w:p>
                  <w:pPr>
                    <w:pStyle w:val="null3"/>
                    <w:jc w:val="left"/>
                  </w:pPr>
                  <w:r>
                    <w:rPr>
                      <w:rFonts w:ascii="宋体" w:hAnsi="宋体" w:cs="宋体" w:eastAsia="宋体"/>
                      <w:sz w:val="24"/>
                    </w:rPr>
                    <w:t>1.内外网网络线路使用不同颜色的网线区分；</w:t>
                  </w:r>
                </w:p>
                <w:p>
                  <w:pPr>
                    <w:pStyle w:val="null3"/>
                    <w:jc w:val="left"/>
                  </w:pPr>
                  <w:r>
                    <w:rPr>
                      <w:rFonts w:ascii="宋体" w:hAnsi="宋体" w:cs="宋体" w:eastAsia="宋体"/>
                      <w:sz w:val="24"/>
                    </w:rPr>
                    <w:t>2.每个楼层预留适当数量的备用点位;（光缆一主一备）</w:t>
                  </w:r>
                </w:p>
                <w:p>
                  <w:pPr>
                    <w:pStyle w:val="null3"/>
                    <w:jc w:val="left"/>
                  </w:pPr>
                  <w:r>
                    <w:rPr>
                      <w:rFonts w:ascii="宋体" w:hAnsi="宋体" w:cs="宋体" w:eastAsia="宋体"/>
                      <w:sz w:val="24"/>
                    </w:rPr>
                    <w:t>3.</w:t>
                  </w:r>
                  <w:r>
                    <w:rPr>
                      <w:rFonts w:ascii="宋体" w:hAnsi="宋体" w:cs="宋体" w:eastAsia="宋体"/>
                      <w:sz w:val="24"/>
                    </w:rPr>
                    <w:t>膨胀螺丝或挂钩固定牢靠，不允许有松动的现象。</w:t>
                  </w:r>
                </w:p>
                <w:p>
                  <w:pPr>
                    <w:pStyle w:val="null3"/>
                    <w:jc w:val="left"/>
                  </w:pPr>
                  <w:r>
                    <w:rPr>
                      <w:rFonts w:ascii="宋体" w:hAnsi="宋体" w:cs="宋体" w:eastAsia="宋体"/>
                      <w:sz w:val="24"/>
                    </w:rPr>
                    <w:t>4. PVC线槽有固定点，横平竖直，接头、弯角处用接插件，地槽对接处缝隙小于2mm。</w:t>
                  </w:r>
                </w:p>
                <w:p>
                  <w:pPr>
                    <w:pStyle w:val="null3"/>
                    <w:jc w:val="left"/>
                  </w:pPr>
                  <w:r>
                    <w:rPr>
                      <w:rFonts w:ascii="宋体" w:hAnsi="宋体" w:cs="宋体" w:eastAsia="宋体"/>
                      <w:sz w:val="24"/>
                    </w:rPr>
                    <w:t>5.所有接插件必须连接牢靠，无接触不良。</w:t>
                  </w:r>
                </w:p>
                <w:p>
                  <w:pPr>
                    <w:pStyle w:val="null3"/>
                    <w:jc w:val="both"/>
                  </w:pPr>
                  <w:r>
                    <w:rPr>
                      <w:rFonts w:ascii="宋体" w:hAnsi="宋体" w:cs="宋体" w:eastAsia="宋体"/>
                      <w:sz w:val="24"/>
                    </w:rPr>
                    <w:t>6.所有线材捆扎好，打标签。</w:t>
                  </w:r>
                </w:p>
              </w:tc>
            </w:tr>
          </w:tbl>
          <w:p/>
        </w:tc>
      </w:tr>
      <w:tr>
        <w:tc>
          <w:tcPr>
            <w:tcW w:type="dxa" w:w="2769"/>
          </w:tcPr>
          <w:p/>
        </w:tc>
        <w:tc>
          <w:tcPr>
            <w:tcW w:type="dxa" w:w="2769"/>
          </w:tcPr>
          <w:p>
            <w:pPr>
              <w:pStyle w:val="null3"/>
            </w:pPr>
            <w:r>
              <w:rPr/>
              <w:t>2</w:t>
            </w:r>
          </w:p>
        </w:tc>
        <w:tc>
          <w:tcPr>
            <w:tcW w:type="dxa" w:w="2769"/>
          </w:tcPr>
          <w:p>
            <w:pPr>
              <w:pStyle w:val="null3"/>
              <w:jc w:val="both"/>
            </w:pPr>
            <w:r>
              <w:rPr>
                <w:rFonts w:ascii="&quot;times new roman&quot;" w:hAnsi="&quot;times new roman&quot;" w:cs="&quot;times new roman&quot;" w:eastAsia="&quot;times new roman&quot;"/>
                <w:color w:val="000000"/>
                <w:sz w:val="21"/>
              </w:rPr>
              <w:t>注.</w:t>
            </w:r>
          </w:p>
          <w:p>
            <w:pPr>
              <w:pStyle w:val="null3"/>
            </w:pPr>
            <w:r>
              <w:rPr>
                <w:rFonts w:ascii="&quot;times new roman&quot;" w:hAnsi="&quot;times new roman&quot;" w:cs="&quot;times new roman&quot;" w:eastAsia="&quot;times new roman&quot;"/>
                <w:color w:val="000000"/>
                <w:sz w:val="21"/>
              </w:rPr>
              <w:t>(1)由于本次项目属于网络改造项目，供应商需要了解用户网络架构现状，进行方案设计，另外清单所列的线、管、附件辅材等仅为估算量，且相关布线、开槽、穿管等工程量难以精确估算，供应商须进行现场踏勘，并在投标文件中提供采购单位出具的现场踏勘证明。若因投标方未勘探现场，而带来的一切后果责任，由投标方自行承担，踏勘期间发生的费用或意外导致伤亡等一切责任和损失均由投标人自负。</w:t>
            </w:r>
          </w:p>
          <w:p>
            <w:pPr>
              <w:pStyle w:val="null3"/>
            </w:pPr>
            <w:r>
              <w:rPr>
                <w:rFonts w:ascii="&quot;times new roman&quot;" w:hAnsi="&quot;times new roman&quot;" w:cs="&quot;times new roman&quot;" w:eastAsia="&quot;times new roman&quot;"/>
                <w:color w:val="000000"/>
                <w:sz w:val="21"/>
              </w:rPr>
              <w:t>现场踏勘联系人：王工；联系电话：18691495531。</w:t>
            </w:r>
          </w:p>
          <w:p>
            <w:pPr>
              <w:pStyle w:val="null3"/>
            </w:pPr>
            <w:r>
              <w:rPr>
                <w:rFonts w:ascii="&quot;times new roman&quot;" w:hAnsi="&quot;times new roman&quot;" w:cs="&quot;times new roman&quot;" w:eastAsia="&quot;times new roman&quot;"/>
                <w:color w:val="000000"/>
                <w:sz w:val="21"/>
              </w:rPr>
              <w:t>踏勘接待时间：2024年1月23日至2024年1月24日（上午9：00至12：00，下午2：00至5：30）踏勘结束。</w:t>
            </w:r>
          </w:p>
          <w:p>
            <w:pPr>
              <w:pStyle w:val="null3"/>
            </w:pPr>
            <w:r>
              <w:rPr>
                <w:rFonts w:ascii="&quot;times new roman&quot;" w:hAnsi="&quot;times new roman&quot;" w:cs="&quot;times new roman&quot;" w:eastAsia="&quot;times new roman&quot;"/>
                <w:color w:val="000000"/>
                <w:sz w:val="21"/>
              </w:rPr>
              <w:t>踏勘携带：介绍信及本人身份证复印件（加盖公章）</w:t>
            </w:r>
          </w:p>
          <w:p>
            <w:pPr>
              <w:pStyle w:val="null3"/>
            </w:pPr>
            <w:r>
              <w:rPr>
                <w:rFonts w:ascii="&quot;times new roman&quot;" w:hAnsi="&quot;times new roman&quot;" w:cs="&quot;times new roman&quot;" w:eastAsia="&quot;times new roman&quot;"/>
                <w:color w:val="000000"/>
                <w:sz w:val="21"/>
              </w:rPr>
              <w:t>(2)投标单位需充分考虑现场实际情况后进行报价，结算时总报价将不作增加，但因业主方的要求而做出的调整除外。</w:t>
            </w:r>
          </w:p>
          <w:p>
            <w:pPr>
              <w:pStyle w:val="null3"/>
            </w:pPr>
            <w:r>
              <w:rPr>
                <w:rFonts w:ascii="&quot;times new roman&quot;" w:hAnsi="&quot;times new roman&quot;" w:cs="&quot;times new roman&quot;" w:eastAsia="&quot;times new roman&quot;"/>
                <w:color w:val="000000"/>
                <w:sz w:val="21"/>
              </w:rPr>
              <w:t>(3)布线穿管要求：可利用原有弱电桥架或室外预埋管，预埋管需防鼠防蛀，不能利用的室内一律穿管或布线槽（电梯通道除外），室外支线一律穿管挖沟埋地敷设。</w:t>
            </w:r>
          </w:p>
          <w:p>
            <w:pPr>
              <w:pStyle w:val="null3"/>
            </w:pPr>
            <w:r>
              <w:rPr>
                <w:rFonts w:ascii="&quot;times new roman&quot;" w:hAnsi="&quot;times new roman&quot;" w:cs="&quot;times new roman&quot;" w:eastAsia="&quot;times new roman&quot;"/>
                <w:color w:val="000000"/>
                <w:sz w:val="21"/>
              </w:rPr>
              <w:t>（4)光缆线路需一主一备便于后期维修，线路节点需要放在便于检修处，标识标签必须清楚防氧化。</w:t>
            </w:r>
          </w:p>
          <w:p>
            <w:pPr>
              <w:pStyle w:val="null3"/>
              <w:jc w:val="both"/>
            </w:pPr>
            <w:r>
              <w:rPr>
                <w:rFonts w:ascii="&quot;times new roman&quot;" w:hAnsi="&quot;times new roman&quot;" w:cs="&quot;times new roman&quot;" w:eastAsia="&quot;times new roman&quot;"/>
                <w:color w:val="000000"/>
                <w:sz w:val="21"/>
              </w:rPr>
              <w:t>（5）线路施工完成需要交付竣工资料（含图纸及电子版资料）。</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自合同签订之日起2年。</w:t>
      </w:r>
    </w:p>
    <w:p>
      <w:pPr>
        <w:pStyle w:val="null3"/>
        <w:outlineLvl w:val="3"/>
      </w:pPr>
      <w:r>
        <w:rPr>
          <w:b/>
          <w:sz w:val="24"/>
        </w:rPr>
        <w:t>3.4.2交货地点</w:t>
      </w:r>
    </w:p>
    <w:p>
      <w:pPr>
        <w:pStyle w:val="null3"/>
      </w:pPr>
      <w:r>
        <w:rPr/>
        <w:t>采购包1：</w:t>
      </w:r>
    </w:p>
    <w:p>
      <w:pPr>
        <w:pStyle w:val="null3"/>
      </w:pPr>
      <w:r>
        <w:rPr/>
        <w:t>铜川市政务信息化服务中心指定地点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货到安装、调试完成，进行初验，初验合格后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一个月试运行期满进行终验，终验合格后</w:t>
      </w:r>
      <w:r>
        <w:rPr/>
        <w:t xml:space="preserve"> ，达到付款条件起 </w:t>
      </w:r>
      <w:r>
        <w:rPr/>
        <w:t>7</w:t>
      </w:r>
      <w:r>
        <w:rPr/>
        <w:t xml:space="preserve"> 日内，支付合同总金额的 </w:t>
      </w:r>
      <w:r>
        <w:rPr/>
        <w:t>35.00</w:t>
      </w:r>
      <w:r>
        <w:rPr/>
        <w:t>%。</w:t>
      </w:r>
    </w:p>
    <w:p>
      <w:pPr>
        <w:pStyle w:val="null3"/>
      </w:pPr>
      <w:r>
        <w:rPr/>
        <w:t>采购包1：</w:t>
      </w:r>
      <w:r>
        <w:rPr/>
        <w:t xml:space="preserve"> 付款条件说明： </w:t>
      </w:r>
      <w:r>
        <w:rPr/>
        <w:t>项目终验一年后</w:t>
      </w:r>
      <w:r>
        <w:rPr/>
        <w:t xml:space="preserve"> ，达到付款条件起 </w:t>
      </w:r>
      <w:r>
        <w:rPr/>
        <w:t>7</w:t>
      </w:r>
      <w:r>
        <w:rPr/>
        <w:t xml:space="preserve"> 日内，支付合同总金额的 </w:t>
      </w:r>
      <w:r>
        <w:rPr/>
        <w:t>5.00</w:t>
      </w:r>
      <w:r>
        <w:rPr/>
        <w:t>%。</w:t>
      </w:r>
    </w:p>
    <w:p>
      <w:pPr>
        <w:pStyle w:val="null3"/>
        <w:outlineLvl w:val="3"/>
      </w:pPr>
      <w:r>
        <w:rPr>
          <w:b/>
          <w:sz w:val="24"/>
        </w:rPr>
        <w:t>3.4.5验收标准和方法</w:t>
      </w:r>
    </w:p>
    <w:p>
      <w:pPr>
        <w:pStyle w:val="null3"/>
      </w:pPr>
      <w:r>
        <w:rPr/>
        <w:t>采购包1：</w:t>
      </w:r>
    </w:p>
    <w:p>
      <w:pPr>
        <w:pStyle w:val="null3"/>
      </w:pPr>
      <w:r>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1、所验产品的指标、性能参数通过验收达不到投标文件要求和投标响应文件承诺的，或在使用中发现设计缺陷等，将视为产品验收不合格，供应商应无条件免费更换或退货。 2、若发现供应商有弄虚作假的，在投标阶段故意或随意夸大产品技术性能，供应商应无条件退货，并赔偿采购人相应的损失。 3、验收标准：按投标文件、投标响应文件及澄清函等技术指标进行验收。各项指标均应符合验收标准及要求。 4、验收合格后，填写验收单，双方签字盖章后生效。 5、验收依据： 1）合同文本； 2）投标响应文件及澄清函、投标文件； 3）国家和行业制定的相应的标准和规范； 4)产品验收清单（注明各部件的品名、数量、规格型号和原产地或生产厂家）。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运行维护期：初验验收合格后一年。 设备质保期：初验合格后 2 年。</w:t>
      </w:r>
    </w:p>
    <w:p>
      <w:pPr>
        <w:pStyle w:val="null3"/>
        <w:outlineLvl w:val="3"/>
      </w:pPr>
      <w:r>
        <w:rPr>
          <w:b/>
          <w:sz w:val="24"/>
        </w:rPr>
        <w:t>3.4.8违约责任与解决争议的方法</w:t>
      </w:r>
    </w:p>
    <w:p>
      <w:pPr>
        <w:pStyle w:val="null3"/>
      </w:pPr>
      <w:r>
        <w:rPr/>
        <w:t>采购包1：</w:t>
      </w:r>
    </w:p>
    <w:p>
      <w:pPr>
        <w:pStyle w:val="null3"/>
      </w:pPr>
      <w:r>
        <w:rPr/>
        <w:t>1、乙方提供的产品必须是出厂合格产品，若不合格，将全部货物退给乙方，乙方需向甲方支付合同总价30%的违约金，并赔偿甲方相关经济损失。 2、乙方保证在运输卸货等过程中要符合环保、城管等要求，此项措施费或由此产生的罚单由乙方承担。 3、乙方若延误交货，每逾期一日，乙方应承担本合同总金额5‰/天的违约金，但违约金最高不超过本合同总金额的3%。同时若乙方延误交货而影响到甲方项目施工工期的，甲方有权向乙方索赔。 4、 甲方若延误支付，每逾期一日，甲方应承担本合同总金额5‰/天的违约金，但违约金最高不超过本合同总金额的3%。</w:t>
      </w:r>
    </w:p>
    <w:p>
      <w:pPr>
        <w:pStyle w:val="null3"/>
        <w:jc w:val="left"/>
        <w:outlineLvl w:val="2"/>
      </w:pPr>
      <w:r>
        <w:rPr>
          <w:b/>
          <w:sz w:val="28"/>
        </w:rPr>
        <w:t>3.5其他要求</w:t>
      </w:r>
    </w:p>
    <w:p>
      <w:pPr>
        <w:pStyle w:val="null3"/>
      </w:pPr>
      <w:r>
        <w:rPr/>
        <w:t>/资格证明文件投标文件：正本：1 份、副本：1份； 商务及技术投标文件：正本：1份、副本：1份； 除上述文件外，还须密封递交投标文件电子文档1份，（U盘一份标明供应商名称，随正本密封）电子版文件须为投标文件正本的PDF版扫描件及word版文件。 作为留存资料</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身份证明文件 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商务文件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身份证明文件 资格证明文件 投标函</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间段的社会保障资金缴存单据或社保机构开具的社会保险参保缴费情况证明。成立时间至提交响应文件截止时间不足一个月或依法不需要缴纳社会保障资金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 2023年1月1日以来任意时间段的纳税证明或完税证明，纳税证明或完税证明上应有代收机构或税务机关的公章或业务专用章。依法免税的投标人应提供相关文件证明。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经查，投标人未被列入“信用中国”网站记录的“失信被执行 人”或“重大税收违法失信主体”名单；不处于“中国政府采购网”记录的“政府采购严重违法失信行为记录名单”中的禁止参加政府采购活动期间。</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开标的，须提供法定代表人身份证明；法定代表人授权他人参加开标的，须提供法定代表人授权委托书，被授权代表本单位证明：有效的劳动合同或开标截止前六个月内任意一个月养老保险缴纳证明。（法人参加只需提供法定代表人身份证明）</w:t>
            </w:r>
          </w:p>
        </w:tc>
        <w:tc>
          <w:tcPr>
            <w:tcW w:type="dxa" w:w="1661"/>
          </w:tcPr>
          <w:p>
            <w:pPr>
              <w:pStyle w:val="null3"/>
            </w:pPr>
            <w:r>
              <w:rPr/>
              <w:t>身份证明文件 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完整性</w:t>
            </w:r>
          </w:p>
        </w:tc>
        <w:tc>
          <w:tcPr>
            <w:tcW w:type="dxa" w:w="3322"/>
          </w:tcPr>
          <w:p>
            <w:pPr>
              <w:pStyle w:val="null3"/>
            </w:pPr>
            <w:r>
              <w:rPr/>
              <w:t>按招标文件要求编制</w:t>
            </w:r>
          </w:p>
        </w:tc>
        <w:tc>
          <w:tcPr>
            <w:tcW w:type="dxa" w:w="1661"/>
          </w:tcPr>
          <w:p>
            <w:pPr>
              <w:pStyle w:val="null3"/>
            </w:pPr>
            <w:r>
              <w:rPr/>
              <w:t>开标一览表 技术偏离表 投标方案 中小企业声明函 技术文件 供应商监狱企业声明函 商务文件 商务条款偏离表 业绩一览表 身份证明文件 资格证明文件 投标函 残疾人福利性单位声明函 其他证明文件 投标分项报价表 标的清单 投标文件封面</w:t>
            </w:r>
          </w:p>
        </w:tc>
      </w:tr>
      <w:tr>
        <w:tc>
          <w:tcPr>
            <w:tcW w:type="dxa" w:w="831"/>
          </w:tcPr>
          <w:p>
            <w:pPr>
              <w:pStyle w:val="null3"/>
            </w:pPr>
            <w:r>
              <w:rPr/>
              <w:t>2</w:t>
            </w:r>
          </w:p>
        </w:tc>
        <w:tc>
          <w:tcPr>
            <w:tcW w:type="dxa" w:w="2492"/>
          </w:tcPr>
          <w:p>
            <w:pPr>
              <w:pStyle w:val="null3"/>
            </w:pPr>
            <w:r>
              <w:rPr/>
              <w:t>有效性</w:t>
            </w:r>
          </w:p>
        </w:tc>
        <w:tc>
          <w:tcPr>
            <w:tcW w:type="dxa" w:w="3322"/>
          </w:tcPr>
          <w:p>
            <w:pPr>
              <w:pStyle w:val="null3"/>
            </w:pPr>
            <w:r>
              <w:rPr/>
              <w:t>按招标文件要求签署、盖章。</w:t>
            </w:r>
          </w:p>
        </w:tc>
        <w:tc>
          <w:tcPr>
            <w:tcW w:type="dxa" w:w="1661"/>
          </w:tcPr>
          <w:p>
            <w:pPr>
              <w:pStyle w:val="null3"/>
            </w:pPr>
            <w:r>
              <w:rPr/>
              <w:t>开标一览表 技术偏离表 投标方案 中小企业声明函 技术文件 供应商监狱企业声明函 商务文件 商务条款偏离表 业绩一览表 身份证明文件 资格证明文件 投标函 残疾人福利性单位声明函 其他证明文件 投标分项报价表 标的清单 投标文件封面</w:t>
            </w:r>
          </w:p>
        </w:tc>
      </w:tr>
      <w:tr>
        <w:tc>
          <w:tcPr>
            <w:tcW w:type="dxa" w:w="831"/>
          </w:tcPr>
          <w:p>
            <w:pPr>
              <w:pStyle w:val="null3"/>
            </w:pPr>
            <w:r>
              <w:rPr/>
              <w:t>3</w:t>
            </w:r>
          </w:p>
        </w:tc>
        <w:tc>
          <w:tcPr>
            <w:tcW w:type="dxa" w:w="2492"/>
          </w:tcPr>
          <w:p>
            <w:pPr>
              <w:pStyle w:val="null3"/>
            </w:pPr>
            <w:r>
              <w:rPr/>
              <w:t>响应性</w:t>
            </w:r>
          </w:p>
        </w:tc>
        <w:tc>
          <w:tcPr>
            <w:tcW w:type="dxa" w:w="3322"/>
          </w:tcPr>
          <w:p>
            <w:pPr>
              <w:pStyle w:val="null3"/>
            </w:pPr>
            <w:r>
              <w:rPr/>
              <w:t>实质上响应招标文件，招标文件允许偏离的除外</w:t>
            </w:r>
          </w:p>
        </w:tc>
        <w:tc>
          <w:tcPr>
            <w:tcW w:type="dxa" w:w="1661"/>
          </w:tcPr>
          <w:p>
            <w:pPr>
              <w:pStyle w:val="null3"/>
            </w:pPr>
            <w:r>
              <w:rPr/>
              <w:t>开标一览表 技术偏离表 投标方案 中小企业声明函 技术文件 供应商监狱企业声明函 商务文件 商务条款偏离表 业绩一览表 身份证明文件 资格证明文件 投标函 残疾人福利性单位声明函 其他证明文件 投标分项报价表 标的清单</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供应商投标报价超出采购预算或最高限价的。</w:t>
            </w:r>
          </w:p>
        </w:tc>
        <w:tc>
          <w:tcPr>
            <w:tcW w:type="dxa" w:w="1661"/>
          </w:tcPr>
          <w:p>
            <w:pPr>
              <w:pStyle w:val="null3"/>
            </w:pPr>
            <w:r>
              <w:rPr/>
              <w:t>开标一览表 投标函 投标分项报价表 标的清单</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供应商的报价明显低于其他通过符合性审查供应商的报价，有可能影响服务质量或者不能诚信履约的，且供应商不能证明其报价合理性的。</w:t>
            </w:r>
          </w:p>
        </w:tc>
        <w:tc>
          <w:tcPr>
            <w:tcW w:type="dxa" w:w="1661"/>
          </w:tcPr>
          <w:p>
            <w:pPr>
              <w:pStyle w:val="null3"/>
            </w:pPr>
            <w:r>
              <w:rPr/>
              <w:t>开标一览表 投标函 投标分项报价表 标的清单</w:t>
            </w:r>
          </w:p>
        </w:tc>
      </w:tr>
      <w:tr>
        <w:tc>
          <w:tcPr>
            <w:tcW w:type="dxa" w:w="831"/>
          </w:tcPr>
          <w:p>
            <w:pPr>
              <w:pStyle w:val="null3"/>
            </w:pPr>
            <w:r>
              <w:rPr/>
              <w:t>6</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产品配置</w:t>
            </w:r>
          </w:p>
        </w:tc>
        <w:tc>
          <w:tcPr>
            <w:tcW w:type="dxa" w:w="2492"/>
          </w:tcPr>
          <w:p>
            <w:pPr>
              <w:pStyle w:val="null3"/>
            </w:pPr>
            <w:r>
              <w:rPr/>
              <w:t>投标产品选型合理、配置完整，按要求逐条响应技术要求、产品性能、功能，技术参数清楚、明确，资料齐全，完全满足招标文件要求，得基本分5分。带“#”项参数每负偏离一项扣 1分，扣完为止。（“#”项参数供应商须详细说明并附详细证明材料，不限于产品宣传资料、第三方的检测报告、认证证书、官网截图等证明材料，复印件须加盖供应商公章）。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投标分项报价表</w:t>
            </w:r>
          </w:p>
          <w:p>
            <w:pPr>
              <w:pStyle w:val="null3"/>
            </w:pPr>
            <w:r>
              <w:rPr/>
              <w:t>技术文件</w:t>
            </w:r>
          </w:p>
          <w:p>
            <w:pPr>
              <w:pStyle w:val="null3"/>
            </w:pPr>
            <w:r>
              <w:rPr/>
              <w:t>标的清单</w:t>
            </w:r>
          </w:p>
          <w:p>
            <w:pPr>
              <w:pStyle w:val="null3"/>
            </w:pPr>
            <w:r>
              <w:rPr/>
              <w:t>技术偏离表</w:t>
            </w:r>
          </w:p>
          <w:p>
            <w:pPr>
              <w:pStyle w:val="null3"/>
            </w:pPr>
            <w:r>
              <w:rPr/>
              <w:t>其他证明文件</w:t>
            </w:r>
          </w:p>
        </w:tc>
      </w:tr>
      <w:tr>
        <w:tc>
          <w:tcPr>
            <w:tcW w:type="dxa" w:w="831"/>
            <w:vMerge/>
          </w:tcPr>
          <w:p/>
        </w:tc>
        <w:tc>
          <w:tcPr>
            <w:tcW w:type="dxa" w:w="1661"/>
          </w:tcPr>
          <w:p>
            <w:pPr>
              <w:pStyle w:val="null3"/>
            </w:pPr>
            <w:r>
              <w:rPr/>
              <w:t>产品渠道、性能</w:t>
            </w:r>
          </w:p>
        </w:tc>
        <w:tc>
          <w:tcPr>
            <w:tcW w:type="dxa" w:w="2492"/>
          </w:tcPr>
          <w:p>
            <w:pPr>
              <w:pStyle w:val="null3"/>
            </w:pPr>
            <w:r>
              <w:rPr/>
              <w:t>投标产品货源渠道正规，产品性能稳定，具有较好的使用效果，符合国内相关标准。能提供产品来源渠道合法的证明文件（不限于销售协议、代理协议、原厂授权、检验或检测报告、出厂合格证及国家强制认证等）。根据供应商提供的证明文件齐全，根据各供应商响应程度计 0-5 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投标分项报价表</w:t>
            </w:r>
          </w:p>
          <w:p>
            <w:pPr>
              <w:pStyle w:val="null3"/>
            </w:pPr>
            <w:r>
              <w:rPr/>
              <w:t>技术偏离表</w:t>
            </w:r>
          </w:p>
          <w:p>
            <w:pPr>
              <w:pStyle w:val="null3"/>
            </w:pPr>
            <w:r>
              <w:rPr/>
              <w:t>其他证明文件</w:t>
            </w:r>
          </w:p>
          <w:p>
            <w:pPr>
              <w:pStyle w:val="null3"/>
            </w:pPr>
            <w:r>
              <w:rPr/>
              <w:t>标的清单</w:t>
            </w:r>
          </w:p>
          <w:p>
            <w:pPr>
              <w:pStyle w:val="null3"/>
            </w:pPr>
            <w:r>
              <w:rPr/>
              <w:t>技术文件</w:t>
            </w:r>
          </w:p>
        </w:tc>
      </w:tr>
      <w:tr>
        <w:tc>
          <w:tcPr>
            <w:tcW w:type="dxa" w:w="831"/>
            <w:vMerge/>
          </w:tcPr>
          <w:p/>
        </w:tc>
        <w:tc>
          <w:tcPr>
            <w:tcW w:type="dxa" w:w="1661"/>
          </w:tcPr>
          <w:p>
            <w:pPr>
              <w:pStyle w:val="null3"/>
            </w:pPr>
            <w:r>
              <w:rPr/>
              <w:t>技术方案、软件设计</w:t>
            </w:r>
          </w:p>
        </w:tc>
        <w:tc>
          <w:tcPr>
            <w:tcW w:type="dxa" w:w="2492"/>
          </w:tcPr>
          <w:p>
            <w:pPr>
              <w:pStyle w:val="null3"/>
            </w:pPr>
            <w:r>
              <w:rPr/>
              <w:t>对供应商总体技术方案及软件设计架构的合理性、先进性、完整性进行评价。 技术方案先进、合理、完整，思路清晰，符合国家相关标准和规范；软件设计合理，架构完整先进、设计思路清晰，对需求分析详细、理解准确，充分满足需求的计12-20分； 技术方案基本合理，符合国家相关标准和规范，软件结构层次较合理，思路较清晰，基本满足需求的计6-11分； 技术方案欠缺、思路不够清晰、软件结构层次欠合理，部分满足需求的计0-5分； 未提供得0分。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投标方案</w:t>
            </w:r>
          </w:p>
          <w:p>
            <w:pPr>
              <w:pStyle w:val="null3"/>
            </w:pPr>
            <w:r>
              <w:rPr/>
              <w:t>其他证明文件</w:t>
            </w:r>
          </w:p>
        </w:tc>
      </w:tr>
      <w:tr>
        <w:tc>
          <w:tcPr>
            <w:tcW w:type="dxa" w:w="831"/>
            <w:vMerge/>
          </w:tcPr>
          <w:p/>
        </w:tc>
        <w:tc>
          <w:tcPr>
            <w:tcW w:type="dxa" w:w="1661"/>
          </w:tcPr>
          <w:p>
            <w:pPr>
              <w:pStyle w:val="null3"/>
            </w:pPr>
            <w:r>
              <w:rPr/>
              <w:t>实施方案</w:t>
            </w:r>
          </w:p>
        </w:tc>
        <w:tc>
          <w:tcPr>
            <w:tcW w:type="dxa" w:w="2492"/>
          </w:tcPr>
          <w:p>
            <w:pPr>
              <w:pStyle w:val="null3"/>
            </w:pPr>
            <w:r>
              <w:rPr/>
              <w:t>实施方案：供应商针对本项目包括安装、调试、试运行、验收等，进度计划安排合理且具有保障措施，方案详细，质量保障措施完备，全面完整能实现用户各项功能要求， 根据实施方案详细、理解准确，充分满足需求的计12-20分； 实施方案基本合理，符合国家相关标准和规范，软件结构层次较合理，思路较清晰，基本满足需求的计6-11分； 实施方案欠缺、思路不够清晰、软件结构层次欠合理，部分满足需求的计1-5分； 未提供得0分。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投标方案</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供应商需具有近三年（2021年 1月 1 日至今）的同类项目业绩，每提供 1 份计1 分，满分2分。业绩证明（以中标通知书或合同为准），同时须在招标文件中提供合同复印件并加盖供应商公章。</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踏勘</w:t>
            </w:r>
          </w:p>
        </w:tc>
        <w:tc>
          <w:tcPr>
            <w:tcW w:type="dxa" w:w="2492"/>
          </w:tcPr>
          <w:p>
            <w:pPr>
              <w:pStyle w:val="null3"/>
            </w:pPr>
            <w:r>
              <w:rPr/>
              <w:t>现场踏勘，提供现场踏勘证明、踏勘内容、现场设计方案等，比较后打分，不提供者不得分。（现场踏勘须提供采购人盖章的有效证明） 根据供应商的响应情况计 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w:t>
            </w:r>
          </w:p>
          <w:p>
            <w:pPr>
              <w:pStyle w:val="null3"/>
            </w:pPr>
            <w:r>
              <w:rPr/>
              <w:t>其他证明文件</w:t>
            </w:r>
          </w:p>
        </w:tc>
      </w:tr>
      <w:tr>
        <w:tc>
          <w:tcPr>
            <w:tcW w:type="dxa" w:w="831"/>
            <w:vMerge/>
          </w:tcPr>
          <w:p/>
        </w:tc>
        <w:tc>
          <w:tcPr>
            <w:tcW w:type="dxa" w:w="1661"/>
          </w:tcPr>
          <w:p>
            <w:pPr>
              <w:pStyle w:val="null3"/>
            </w:pPr>
            <w:r>
              <w:rPr/>
              <w:t>培训方案、售后</w:t>
            </w:r>
          </w:p>
        </w:tc>
        <w:tc>
          <w:tcPr>
            <w:tcW w:type="dxa" w:w="2492"/>
          </w:tcPr>
          <w:p>
            <w:pPr>
              <w:pStyle w:val="null3"/>
            </w:pPr>
            <w:r>
              <w:rPr/>
              <w:t>培训方案：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培训后的人员应能熟练操作设备，了解产品结构、工作原理，并能排除一般故障。根据供应商的响应情况计 0-5分。 售后服务方案：售后服务网机构的设定（须提供规模、分布情况，机构正常运行情况的相关证明材料）、提供售后服务的能力及具体的售后服务方案（拟投入售后服务人员配置情况、验收方案、日常维护、应急预案、故障响应时间及应对措施，质量保证范围等，能有效保障本地化技术服务及售后服务的协调性、及时性）。根据响应情况计 0-5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w:t>
            </w:r>
          </w:p>
          <w:p>
            <w:pPr>
              <w:pStyle w:val="null3"/>
            </w:pPr>
            <w:r>
              <w:rPr/>
              <w:t>商务条款偏离表</w:t>
            </w:r>
          </w:p>
          <w:p>
            <w:pPr>
              <w:pStyle w:val="null3"/>
            </w:pPr>
            <w:r>
              <w:rPr/>
              <w:t>商务文件</w:t>
            </w:r>
          </w:p>
          <w:p>
            <w:pPr>
              <w:pStyle w:val="null3"/>
            </w:pPr>
            <w:r>
              <w:rPr/>
              <w:t>其他证明文件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 的投标报价为评标基准价，其 价格分为满分。其他供应商的价格 分统一按照下列公式计算：投标报 价得分=（投标基准价/投标报价）×价格权值 在投标报价的基础上，对小微企业、监狱企业、残疾人福利性单位，按“投标报价×10%”进行扣减；</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开标一览表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详见附件：身份证明文件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详见附件：技术文件</w:t>
      </w:r>
    </w:p>
    <w:p>
      <w:pPr>
        <w:pStyle w:val="null3"/>
        <w:ind w:firstLine="960"/>
      </w:pPr>
      <w:r>
        <w:rPr/>
        <w:t>详见附件：技术偏离表</w:t>
      </w:r>
    </w:p>
    <w:p>
      <w:pPr>
        <w:pStyle w:val="null3"/>
        <w:ind w:firstLine="960"/>
      </w:pPr>
      <w:r>
        <w:rPr/>
        <w:t>详见附件：商务文件</w:t>
      </w:r>
    </w:p>
    <w:p>
      <w:pPr>
        <w:pStyle w:val="null3"/>
        <w:ind w:firstLine="960"/>
      </w:pPr>
      <w:r>
        <w:rPr/>
        <w:t>详见附件：商务条款偏离表</w:t>
      </w:r>
    </w:p>
    <w:p>
      <w:pPr>
        <w:pStyle w:val="null3"/>
        <w:ind w:firstLine="960"/>
      </w:pPr>
      <w:r>
        <w:rPr/>
        <w:t>详见附件：业绩一览表</w:t>
      </w:r>
    </w:p>
    <w:p>
      <w:pPr>
        <w:pStyle w:val="null3"/>
        <w:ind w:firstLine="960"/>
      </w:pPr>
      <w:r>
        <w:rPr/>
        <w:t>详见附件：投标方案</w:t>
      </w:r>
    </w:p>
    <w:p>
      <w:pPr>
        <w:pStyle w:val="null3"/>
        <w:ind w:firstLine="960"/>
      </w:pPr>
      <w:r>
        <w:rPr/>
        <w:t>详见附件：中小企业声明函</w:t>
      </w:r>
    </w:p>
    <w:p>
      <w:pPr>
        <w:pStyle w:val="null3"/>
        <w:ind w:firstLine="960"/>
      </w:pPr>
      <w:r>
        <w:rPr/>
        <w:t>详见附件：供应商监狱企业声明函</w:t>
      </w:r>
    </w:p>
    <w:p>
      <w:pPr>
        <w:pStyle w:val="null3"/>
        <w:ind w:firstLine="960"/>
      </w:pPr>
      <w:r>
        <w:rPr/>
        <w:t>详见附件：残疾人福利性单位声明函</w:t>
      </w:r>
    </w:p>
    <w:p>
      <w:pPr>
        <w:pStyle w:val="null3"/>
        <w:ind w:firstLine="960"/>
      </w:pPr>
      <w:r>
        <w:rPr/>
        <w:t>详见附件：其他证明文件</w:t>
      </w:r>
    </w:p>
    <w:p>
      <w:pPr>
        <w:pStyle w:val="null3"/>
      </w:pPr>
      <w:r>
        <w:rPr/>
        <w:t xml:space="preserve"> </w:t>
      </w:r>
    </w:p>
    <w:p>
      <w:pPr>
        <w:pStyle w:val="null3"/>
        <w:jc w:val="center"/>
        <w:outlineLvl w:val="1"/>
      </w:pPr>
      <w:r>
        <w:rPr>
          <w:b/>
          <w:sz w:val="36"/>
        </w:rPr>
        <w:t>第七章 拟签订合同文本</w:t>
      </w:r>
    </w:p>
    <w:p>
      <w:pPr>
        <w:pStyle w:val="null3"/>
      </w:pPr>
      <w:r>
        <w:rPr/>
        <w:t>详见附件：采 购 合 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