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新区校区楼体外墙提升改造项目</w:t>
      </w:r>
    </w:p>
    <w:p>
      <w:pPr>
        <w:pStyle w:val="null3"/>
        <w:jc w:val="center"/>
        <w:outlineLvl w:val="2"/>
      </w:pPr>
      <w:r>
        <w:rPr>
          <w:b/>
          <w:sz w:val="28"/>
        </w:rPr>
        <w:t>采购项目编号：</w:t>
      </w:r>
      <w:r>
        <w:rPr>
          <w:b/>
          <w:sz w:val="28"/>
        </w:rPr>
        <w:t>TCZFCG-2023-00841</w:t>
      </w:r>
      <w:r>
        <w:br/>
      </w:r>
      <w:r>
        <w:br/>
      </w:r>
      <w:r>
        <w:br/>
      </w:r>
    </w:p>
    <w:p>
      <w:pPr>
        <w:pStyle w:val="null3"/>
        <w:jc w:val="center"/>
        <w:outlineLvl w:val="2"/>
      </w:pPr>
      <w:r>
        <w:rPr>
          <w:b/>
          <w:sz w:val="28"/>
        </w:rPr>
        <w:t>铜川市第一中学</w:t>
      </w:r>
    </w:p>
    <w:p>
      <w:pPr>
        <w:pStyle w:val="null3"/>
        <w:jc w:val="center"/>
        <w:outlineLvl w:val="2"/>
      </w:pPr>
      <w:r>
        <w:rPr>
          <w:b/>
          <w:sz w:val="28"/>
        </w:rPr>
        <w:t>铜川市政府采购中心</w:t>
      </w:r>
      <w:r>
        <w:rPr>
          <w:b/>
          <w:sz w:val="28"/>
        </w:rPr>
        <w:t>共同编制</w:t>
      </w:r>
    </w:p>
    <w:p>
      <w:pPr>
        <w:pStyle w:val="null3"/>
        <w:jc w:val="center"/>
        <w:outlineLvl w:val="2"/>
      </w:pPr>
      <w:r>
        <w:rPr>
          <w:b/>
          <w:sz w:val="28"/>
        </w:rPr>
        <w:t>2024年01月29日</w:t>
      </w:r>
    </w:p>
    <w:p>
      <w:pPr>
        <w:pStyle w:val="null3"/>
      </w:pPr>
      <w:r>
        <w:rPr/>
        <w:t xml:space="preserve"> </w:t>
      </w:r>
    </w:p>
    <w:p>
      <w:pPr>
        <w:pStyle w:val="null3"/>
        <w:jc w:val="center"/>
        <w:outlineLvl w:val="1"/>
      </w:pPr>
      <w:r>
        <w:rPr>
          <w:b/>
          <w:sz w:val="36"/>
        </w:rPr>
        <w:t>第一章 竞争性磋商邀请</w:t>
      </w:r>
    </w:p>
    <w:p>
      <w:pPr>
        <w:pStyle w:val="null3"/>
        <w:ind w:firstLine="480"/>
      </w:pPr>
      <w:r>
        <w:rPr/>
        <w:t>铜川市政府采购中心</w:t>
      </w:r>
      <w:r>
        <w:rPr/>
        <w:t>（以下简称“代理机构”）受</w:t>
      </w:r>
      <w:r>
        <w:rPr/>
        <w:t>铜川市第一中学</w:t>
      </w:r>
      <w:r>
        <w:rPr/>
        <w:t>委托，拟对</w:t>
      </w:r>
      <w:r>
        <w:rPr/>
        <w:t>新区校区楼体外墙提升改造项目</w:t>
      </w:r>
      <w:r>
        <w:rPr/>
        <w:t>采用竞争性磋商采购方式进行采购，兹邀请供应商参加本项目的竞争性磋商。</w:t>
      </w:r>
    </w:p>
    <w:p>
      <w:pPr>
        <w:pStyle w:val="null3"/>
        <w:outlineLvl w:val="2"/>
      </w:pPr>
      <w:r>
        <w:rPr>
          <w:b/>
          <w:sz w:val="28"/>
        </w:rPr>
        <w:t>一、采购项目编号：</w:t>
      </w:r>
      <w:r>
        <w:rPr>
          <w:b/>
          <w:sz w:val="28"/>
        </w:rPr>
        <w:t>TCZFCG-2023-00841</w:t>
      </w:r>
    </w:p>
    <w:p>
      <w:pPr>
        <w:pStyle w:val="null3"/>
        <w:outlineLvl w:val="2"/>
      </w:pPr>
      <w:r>
        <w:rPr>
          <w:b/>
          <w:sz w:val="28"/>
        </w:rPr>
        <w:t>二、采购项目名称：</w:t>
      </w:r>
      <w:r>
        <w:rPr>
          <w:b/>
          <w:sz w:val="28"/>
        </w:rPr>
        <w:t>新区校区楼体外墙提升改造项目</w:t>
      </w:r>
    </w:p>
    <w:p>
      <w:pPr>
        <w:pStyle w:val="null3"/>
        <w:outlineLvl w:val="2"/>
      </w:pPr>
      <w:r>
        <w:rPr>
          <w:b/>
          <w:sz w:val="28"/>
        </w:rPr>
        <w:t>三、磋商项目简介</w:t>
      </w:r>
    </w:p>
    <w:p>
      <w:pPr>
        <w:pStyle w:val="null3"/>
        <w:ind w:firstLine="480"/>
      </w:pPr>
      <w:r>
        <w:rPr/>
        <w:t>本工程采用纯丙复合乳液为粘结剂，以天然彩石为主要成分，配以助剂制成，为粘结度牢、效果好的外墙装饰产品。 采用产品名称：外墙真石漆。 教学楼1、2、3，教学楼连廊、实验楼、食堂、学生公寓1、2，食堂、锅炉房、浴室、配电房、办公楼，合计提升改造面积25435.28平方米。原外立面材质：除办公楼外其余建筑外立面为瓷砖材质，办公楼外立面材质为漆面。</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1、供应商资质要求：具有建设行政主管部门核发的建筑装饰装修工程专业承包三级及以上资质，且具有有效的安全生产许可证。</w:t>
      </w:r>
    </w:p>
    <w:p>
      <w:pPr>
        <w:pStyle w:val="null3"/>
      </w:pPr>
      <w:r>
        <w:rPr/>
        <w:t>2、供应商主体证明：提供合格有效的法人或者其他组织的营业执照等证明文件或自然人的身份证明；</w:t>
      </w:r>
    </w:p>
    <w:p>
      <w:pPr>
        <w:pStyle w:val="null3"/>
      </w:pPr>
      <w:r>
        <w:rPr/>
        <w:t>3、财务状况报告：提供经审计的2022年度或2023年度财务报告，包括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4、税收缴纳证明 ：提供已缴纳的2023年05月至今任意一个月的纳税证明或完税证明，纳税证明或完税证明上应有代收机构或税务机关的公章或业务专用章。依法免税的供应商应提供相关文件证明；</w:t>
      </w:r>
    </w:p>
    <w:p>
      <w:pPr>
        <w:pStyle w:val="null3"/>
      </w:pPr>
      <w:r>
        <w:rPr/>
        <w:t>5、社会保障资金缴纳证明：提供已缴存的2023年05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t>6、三年内无重大违记录声明 ：出具参加本次政府采购活动前三年内在经营活动中没有重大违法记录的书面声明；</w:t>
      </w:r>
    </w:p>
    <w:p>
      <w:pPr>
        <w:pStyle w:val="null3"/>
      </w:pPr>
      <w:r>
        <w:rPr/>
        <w:t>7、具备履行合同所必需的设备和专业技术能力的证明材料：具备履行合同所必需的设备和专业技术能力的证明材料(由供应商根据项目需求提供说明材料或者承诺)；</w:t>
      </w:r>
    </w:p>
    <w:p>
      <w:pPr>
        <w:pStyle w:val="null3"/>
      </w:pPr>
      <w:r>
        <w:rPr/>
        <w:t>8、拒绝政府采购领域商业贿赂承诺书：签署政府采购领域商业贿赂承诺书</w:t>
      </w:r>
    </w:p>
    <w:p>
      <w:pPr>
        <w:pStyle w:val="null3"/>
      </w:pPr>
      <w:r>
        <w:rPr/>
        <w:t>9、法定代表人授权书：法定代表人授权书（附法定代表人、被授权人身份证复印件）及被授权人身份证（法定代表人直接参加磋商，须提供法定代表人身份证明及身份证复印件）；</w:t>
      </w:r>
    </w:p>
    <w:p>
      <w:pPr>
        <w:pStyle w:val="null3"/>
      </w:pPr>
      <w:r>
        <w:rPr/>
        <w:t>10、企业基本信息及项目经理（注册建造师）执业基本信息应在“陕西省住房和城乡建设厅（http://js.shaanxi.gov.cn/ ）陕西省建筑市场监管与诚信信息发布平台”可查询：提供查询截图（加盖单位公章）</w:t>
      </w:r>
    </w:p>
    <w:p>
      <w:pPr>
        <w:pStyle w:val="null3"/>
      </w:pPr>
      <w:r>
        <w:rPr/>
        <w:t>11、本项目不接受联合体磋商：本项目不接受联合体磋商（提供书面声明材料）。</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铜川市第一中学</w:t>
      </w:r>
    </w:p>
    <w:p>
      <w:pPr>
        <w:pStyle w:val="null3"/>
      </w:pPr>
      <w:r>
        <w:rPr/>
        <w:t xml:space="preserve"> 地址： </w:t>
      </w:r>
      <w:r>
        <w:rPr/>
        <w:t>铜川市新区朝阳路10号</w:t>
      </w:r>
    </w:p>
    <w:p>
      <w:pPr>
        <w:pStyle w:val="null3"/>
      </w:pPr>
      <w:r>
        <w:rPr/>
        <w:t xml:space="preserve"> 邮编： </w:t>
      </w:r>
      <w:r>
        <w:rPr/>
        <w:t>727031</w:t>
      </w:r>
    </w:p>
    <w:p>
      <w:pPr>
        <w:pStyle w:val="null3"/>
      </w:pPr>
      <w:r>
        <w:rPr/>
        <w:t xml:space="preserve"> 联系人： </w:t>
      </w:r>
      <w:r>
        <w:rPr/>
        <w:t>铜川市第一中学经办</w:t>
      </w:r>
    </w:p>
    <w:p>
      <w:pPr>
        <w:pStyle w:val="null3"/>
      </w:pPr>
      <w:r>
        <w:rPr/>
        <w:t xml:space="preserve"> 联系电话： </w:t>
      </w:r>
      <w:r>
        <w:rPr/>
        <w:t>3589823</w:t>
      </w:r>
    </w:p>
    <w:p>
      <w:pPr>
        <w:pStyle w:val="null3"/>
        <w:outlineLvl w:val="3"/>
      </w:pPr>
      <w:r>
        <w:rPr>
          <w:b/>
          <w:sz w:val="24"/>
        </w:rPr>
        <w:t>代理机构：</w:t>
      </w:r>
      <w:r>
        <w:rPr>
          <w:b/>
          <w:sz w:val="24"/>
        </w:rPr>
        <w:t>铜川市政府采购中心</w:t>
      </w:r>
    </w:p>
    <w:p>
      <w:pPr>
        <w:pStyle w:val="null3"/>
      </w:pPr>
      <w:r>
        <w:rPr/>
        <w:t xml:space="preserve"> 地址： </w:t>
      </w:r>
      <w:r>
        <w:rPr/>
        <w:t>陕西省铜川市耀州区铜川市新区齐庆路中段人社大厦</w:t>
      </w:r>
    </w:p>
    <w:p>
      <w:pPr>
        <w:pStyle w:val="null3"/>
      </w:pPr>
      <w:r>
        <w:rPr/>
        <w:t xml:space="preserve"> 邮编： </w:t>
      </w:r>
      <w:r>
        <w:rPr/>
        <w:t>727031</w:t>
      </w:r>
    </w:p>
    <w:p>
      <w:pPr>
        <w:pStyle w:val="null3"/>
      </w:pPr>
      <w:r>
        <w:rPr/>
        <w:t xml:space="preserve"> 联系人： </w:t>
      </w:r>
      <w:r>
        <w:rPr/>
        <w:t>杨女士</w:t>
      </w:r>
    </w:p>
    <w:p>
      <w:pPr>
        <w:pStyle w:val="null3"/>
      </w:pPr>
      <w:r>
        <w:rPr/>
        <w:t xml:space="preserve"> 联系电话： </w:t>
      </w:r>
      <w:r>
        <w:rPr/>
        <w:t>09192859994</w:t>
      </w:r>
    </w:p>
    <w:p>
      <w:pPr>
        <w:pStyle w:val="null3"/>
        <w:outlineLvl w:val="3"/>
      </w:pPr>
      <w:r>
        <w:rPr>
          <w:b/>
          <w:sz w:val="24"/>
        </w:rPr>
        <w:t>采购监督机构：</w:t>
      </w:r>
      <w:r>
        <w:rPr>
          <w:b/>
          <w:sz w:val="24"/>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是</w:t>
            </w:r>
            <w:r>
              <w:rPr/>
              <w:t>产品属于节能产品政府采购品目清单中应优先采购的产品范围，本项目采购</w:t>
            </w:r>
            <w:r>
              <w:rPr/>
              <w:t>是</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本项目不收取代理服务费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铜川市第一中学</w:t>
      </w:r>
      <w:r>
        <w:rPr/>
        <w:t>和</w:t>
      </w:r>
      <w:r>
        <w:rPr/>
        <w:t>铜川市政府采购中心</w:t>
      </w:r>
      <w:r>
        <w:rPr/>
        <w:t>享有。对磋商文件中供应商参加本次政府采购活动应当具备的条件，磋商项目技术、服务、商务及其他要求，评审细则及标准由</w:t>
      </w:r>
      <w:r>
        <w:rPr/>
        <w:t>铜川市第一中学</w:t>
      </w:r>
      <w:r>
        <w:rPr/>
        <w:t>负责解释。除上述磋商文件内容，其他内容由</w:t>
      </w:r>
      <w:r>
        <w:rPr/>
        <w:t>铜川市政府采购中心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铜川市第一中学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铜川市政府采购中心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按照合同要求约定</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铜川市政府采购中心</w:t>
      </w:r>
      <w:r>
        <w:rPr/>
        <w:t xml:space="preserve"> 负责答复；供应商对采购过程的询问、质疑由</w:t>
      </w:r>
      <w:r>
        <w:rPr/>
        <w:t>铜川市政府采购中心</w:t>
      </w:r>
      <w:r>
        <w:rPr/>
        <w:t xml:space="preserve"> 负责答复；供应商对采购结果的询问、质疑由 </w:t>
      </w:r>
      <w:r>
        <w:rPr/>
        <w:t>铜川市政府采购中心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联系人：杨女士</w:t>
      </w:r>
    </w:p>
    <w:p>
      <w:pPr>
        <w:pStyle w:val="null3"/>
      </w:pPr>
      <w:r>
        <w:rPr/>
        <w:t>联系电话：0919-2859994</w:t>
      </w:r>
    </w:p>
    <w:p>
      <w:pPr>
        <w:pStyle w:val="null3"/>
      </w:pPr>
      <w:r>
        <w:rPr/>
        <w:t>地址：铜川市新区齐庆路中段人社大厦三楼</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3,230,000.00</w:t>
      </w:r>
    </w:p>
    <w:p>
      <w:pPr>
        <w:pStyle w:val="null3"/>
      </w:pPr>
      <w:r>
        <w:rPr/>
        <w:t>采购包最高限价（元）: 3,230,000.00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墙面扫灰冲洗、涂刷界面剂、真石漆腻子、喷涂外墙真石漆</w:t>
            </w:r>
          </w:p>
        </w:tc>
        <w:tc>
          <w:tcPr>
            <w:tcW w:type="dxa" w:w="1384"/>
          </w:tcPr>
          <w:p>
            <w:pPr>
              <w:pStyle w:val="null3"/>
              <w:jc w:val="right"/>
            </w:pPr>
            <w:r>
              <w:rPr/>
              <w:t>1.00</w:t>
            </w:r>
          </w:p>
        </w:tc>
        <w:tc>
          <w:tcPr>
            <w:tcW w:type="dxa" w:w="1384"/>
          </w:tcPr>
          <w:p>
            <w:pPr>
              <w:pStyle w:val="null3"/>
              <w:jc w:val="right"/>
            </w:pPr>
            <w:r>
              <w:rPr/>
              <w:t>3,230,000.00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标的名称：墙面扫灰冲洗、涂刷界面剂、真石漆腻子、喷涂外墙真石漆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21"/>
              </w:rPr>
              <w:t>项目概况：本工程采用纯丙复合乳液为粘结剂以天然彩石为主要成分，配以助剂制成，为粘结度牢、效果好的外墙装饰产品。 采用产品名称：外墙真石漆。 教学楼1、2、3，教学楼连廊、实验楼、食堂、学生公寓1、2，食堂、锅炉房、浴室、配电房、办公楼，合计提升改造面积25435.28平方米。原外立面材质：除办公楼外其余建筑外立面为瓷砖材质，办公楼外立面材质为漆面。</w:t>
            </w:r>
          </w:p>
        </w:tc>
      </w:tr>
      <w:tr>
        <w:tc>
          <w:tcPr>
            <w:tcW w:type="dxa" w:w="2769"/>
          </w:tcPr>
          <w:p/>
        </w:tc>
        <w:tc>
          <w:tcPr>
            <w:tcW w:type="dxa" w:w="2769"/>
          </w:tcPr>
          <w:p>
            <w:pPr>
              <w:pStyle w:val="null3"/>
            </w:pPr>
            <w:r>
              <w:rPr/>
              <w:t>2</w:t>
            </w:r>
          </w:p>
        </w:tc>
        <w:tc>
          <w:tcPr>
            <w:tcW w:type="dxa" w:w="2769"/>
          </w:tcPr>
          <w:p>
            <w:pPr>
              <w:pStyle w:val="null3"/>
              <w:ind w:left="1125"/>
              <w:jc w:val="center"/>
            </w:pPr>
            <w:r>
              <w:rPr>
                <w:rFonts w:ascii="simsun" w:hAnsi="simsun" w:cs="simsun" w:eastAsia="simsun"/>
                <w:b/>
                <w:sz w:val="21"/>
              </w:rPr>
              <w:t>清单预算编制说明</w:t>
            </w:r>
          </w:p>
          <w:p>
            <w:pPr>
              <w:pStyle w:val="null3"/>
              <w:jc w:val="both"/>
            </w:pPr>
            <w:r>
              <w:rPr>
                <w:rFonts w:ascii="simsun" w:hAnsi="simsun" w:cs="simsun" w:eastAsia="simsun"/>
                <w:b/>
                <w:sz w:val="21"/>
              </w:rPr>
              <w:t>一、工程概况：</w:t>
            </w:r>
          </w:p>
          <w:p>
            <w:pPr>
              <w:pStyle w:val="null3"/>
              <w:ind w:left="1125"/>
              <w:jc w:val="both"/>
            </w:pPr>
            <w:r>
              <w:rPr>
                <w:rFonts w:ascii="simsun" w:hAnsi="simsun" w:cs="simsun" w:eastAsia="simsun"/>
                <w:sz w:val="21"/>
              </w:rPr>
              <w:t>1、工程名称：铜川市第一中学新区校区楼体外墙提升改造项目；</w:t>
            </w:r>
          </w:p>
          <w:p>
            <w:pPr>
              <w:pStyle w:val="null3"/>
              <w:ind w:firstLine="280"/>
              <w:jc w:val="both"/>
            </w:pPr>
            <w:r>
              <w:rPr>
                <w:rFonts w:ascii="simsun" w:hAnsi="simsun" w:cs="simsun" w:eastAsia="simsun"/>
                <w:sz w:val="21"/>
              </w:rPr>
              <w:t>2、工程地点：铜川市第一中学新区校区；</w:t>
            </w:r>
          </w:p>
          <w:p>
            <w:pPr>
              <w:pStyle w:val="null3"/>
              <w:ind w:firstLine="280"/>
              <w:jc w:val="both"/>
            </w:pPr>
            <w:r>
              <w:rPr>
                <w:rFonts w:ascii="simsun" w:hAnsi="simsun" w:cs="simsun" w:eastAsia="simsun"/>
                <w:sz w:val="21"/>
              </w:rPr>
              <w:t>3、主要施工内容：本工程施工内容包含新区校区楼体外墙墙面洗灰冲洗、涂刷界面剂、真石漆腻子、喷涂外墙真石漆等</w:t>
            </w:r>
            <w:r>
              <w:rPr>
                <w:rFonts w:ascii="simsun" w:hAnsi="simsun" w:cs="simsun" w:eastAsia="simsun"/>
                <w:b/>
                <w:sz w:val="21"/>
              </w:rPr>
              <w:t>。</w:t>
            </w:r>
          </w:p>
          <w:p>
            <w:pPr>
              <w:pStyle w:val="null3"/>
              <w:jc w:val="both"/>
            </w:pPr>
            <w:r>
              <w:rPr>
                <w:rFonts w:ascii="simsun" w:hAnsi="simsun" w:cs="simsun" w:eastAsia="simsun"/>
                <w:b/>
                <w:sz w:val="21"/>
              </w:rPr>
              <w:t>二、编制范围：</w:t>
            </w:r>
            <w:r>
              <w:rPr>
                <w:rFonts w:ascii="simsun" w:hAnsi="simsun" w:cs="simsun" w:eastAsia="simsun"/>
                <w:b/>
                <w:sz w:val="21"/>
              </w:rPr>
              <w:t xml:space="preserve"> </w:t>
            </w:r>
          </w:p>
          <w:p>
            <w:pPr>
              <w:pStyle w:val="null3"/>
              <w:jc w:val="both"/>
            </w:pPr>
            <w:r>
              <w:rPr>
                <w:rFonts w:ascii="simsun" w:hAnsi="simsun" w:cs="simsun" w:eastAsia="simsun"/>
                <w:sz w:val="21"/>
              </w:rPr>
              <w:t>“铜川市第一中学新区校区楼体外墙提升改造项目”施工图纸全部内容。</w:t>
            </w:r>
          </w:p>
          <w:p>
            <w:pPr>
              <w:pStyle w:val="null3"/>
              <w:jc w:val="both"/>
            </w:pPr>
            <w:r>
              <w:rPr>
                <w:rFonts w:ascii="simsun" w:hAnsi="simsun" w:cs="simsun" w:eastAsia="simsun"/>
                <w:b/>
                <w:sz w:val="21"/>
              </w:rPr>
              <w:t>三、编制依据：</w:t>
            </w:r>
          </w:p>
          <w:p>
            <w:pPr>
              <w:pStyle w:val="null3"/>
              <w:ind w:firstLine="560"/>
              <w:jc w:val="left"/>
            </w:pPr>
            <w:r>
              <w:rPr>
                <w:rFonts w:ascii="simsun" w:hAnsi="simsun" w:cs="simsun" w:eastAsia="simsun"/>
                <w:sz w:val="21"/>
              </w:rPr>
              <w:t>1.《建设工程工程量清单计价规范》（GB50500-2008）、《陕西省建设工程工程量清单计价规则》（2009）；</w:t>
            </w:r>
          </w:p>
          <w:p>
            <w:pPr>
              <w:pStyle w:val="null3"/>
              <w:ind w:firstLine="560"/>
              <w:jc w:val="left"/>
            </w:pPr>
            <w:r>
              <w:rPr>
                <w:rFonts w:ascii="simsun" w:hAnsi="simsun" w:cs="simsun" w:eastAsia="simsun"/>
                <w:sz w:val="21"/>
              </w:rPr>
              <w:t>2.《陕西省建筑、装饰工程消耗量定额》（2004），《陕西省安装工程消耗量定额》（2004），《陕西省建设工程消耗量定额补充定额》（2004）、陕西、 《陕西省建设工程工程量清单计价费率》（2009）及其他相关文件；</w:t>
            </w:r>
          </w:p>
          <w:p>
            <w:pPr>
              <w:pStyle w:val="null3"/>
              <w:ind w:firstLine="560"/>
              <w:jc w:val="left"/>
            </w:pPr>
            <w:r>
              <w:rPr>
                <w:rFonts w:ascii="simsun" w:hAnsi="simsun" w:cs="simsun" w:eastAsia="simsun"/>
                <w:sz w:val="21"/>
              </w:rPr>
              <w:t>3.《陕西省建筑、装饰、安装、市政工程价目表》（2009）、、（2009）、《陕西省建设工程施工机械台班价目表》（2009）、《陕西省建设工程消耗量定额勘误及补充定额》（2009）、《陕西省建设工程工程量清单计价费率》（2009）及其他相关文件；劳保费用的通知；</w:t>
            </w:r>
          </w:p>
          <w:p>
            <w:pPr>
              <w:pStyle w:val="null3"/>
              <w:ind w:firstLine="560"/>
              <w:jc w:val="left"/>
            </w:pPr>
            <w:r>
              <w:rPr>
                <w:rFonts w:ascii="simsun" w:hAnsi="simsun" w:cs="simsun" w:eastAsia="simsun"/>
                <w:sz w:val="21"/>
              </w:rPr>
              <w:t>4.依据施工图、相关标准图集等；</w:t>
            </w:r>
          </w:p>
          <w:p>
            <w:pPr>
              <w:pStyle w:val="null3"/>
              <w:ind w:firstLine="560"/>
              <w:jc w:val="left"/>
            </w:pPr>
            <w:r>
              <w:rPr>
                <w:rFonts w:ascii="simsun" w:hAnsi="simsun" w:cs="simsun" w:eastAsia="simsun"/>
                <w:sz w:val="21"/>
              </w:rPr>
              <w:t>5.材料价按照陕西省信息价及实际材料市场价。</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符合现行国家及行业技术标准。</w:t>
      </w:r>
    </w:p>
    <w:p>
      <w:pPr>
        <w:pStyle w:val="null3"/>
        <w:ind w:firstLine="480"/>
      </w:pPr>
      <w:r>
        <w:rPr/>
        <w:t>三、针对本项目的其他技术服务要求：</w:t>
      </w:r>
    </w:p>
    <w:p>
      <w:pPr>
        <w:pStyle w:val="null3"/>
      </w:pPr>
      <w:r>
        <w:rPr/>
        <w:t>按照采购单位要求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具备建筑工程专业二级注册建造师或以上建造师执业资格。</w:t>
            </w:r>
          </w:p>
        </w:tc>
        <w:tc>
          <w:tcPr>
            <w:tcW w:type="dxa" w:w="1661"/>
          </w:tcPr>
          <w:p>
            <w:pPr>
              <w:pStyle w:val="null3"/>
            </w:pPr>
            <w:r>
              <w:rPr/>
              <w:t>项目管理机构组成表</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供应商资质要求</w:t>
            </w:r>
          </w:p>
        </w:tc>
        <w:tc>
          <w:tcPr>
            <w:tcW w:type="dxa" w:w="3322"/>
          </w:tcPr>
          <w:p>
            <w:pPr>
              <w:pStyle w:val="null3"/>
            </w:pPr>
            <w:r>
              <w:rPr/>
              <w:t>具有建设行政主管部门核发的建筑装饰装修工程专业承包三级及以上资质，且具有有效的安全生产许可证。</w:t>
            </w:r>
          </w:p>
        </w:tc>
        <w:tc>
          <w:tcPr>
            <w:tcW w:type="dxa" w:w="1661"/>
          </w:tcPr>
          <w:p>
            <w:pPr>
              <w:pStyle w:val="null3"/>
            </w:pPr>
            <w:r>
              <w:rPr/>
              <w:t>响应文件封面 供应商应提交的相关资格证明材料</w:t>
            </w:r>
          </w:p>
        </w:tc>
      </w:tr>
      <w:tr>
        <w:tc>
          <w:tcPr>
            <w:tcW w:type="dxa" w:w="831"/>
          </w:tcPr>
          <w:p>
            <w:pPr>
              <w:pStyle w:val="null3"/>
            </w:pPr>
            <w:r>
              <w:rPr/>
              <w:t>2</w:t>
            </w:r>
          </w:p>
        </w:tc>
        <w:tc>
          <w:tcPr>
            <w:tcW w:type="dxa" w:w="2492"/>
          </w:tcPr>
          <w:p>
            <w:pPr>
              <w:pStyle w:val="null3"/>
            </w:pPr>
            <w:r>
              <w:rPr/>
              <w:t>供应商主体证明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提供经审计的2022年度或2023年度财务报告，包括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提供已缴纳的2023年05月至今任意一个月的纳税证明或完税证明，纳税证明或完税证明上应有代收机构或税务机关的公章或业务专用章。依法免税的供应商应提供相关文件证明；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存的2023年05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三年内无重大违记录声明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具备履行合同所必需的设备和专业技术能力的证明材料</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拒绝政府采购领域商业贿赂承诺书</w:t>
            </w:r>
          </w:p>
        </w:tc>
        <w:tc>
          <w:tcPr>
            <w:tcW w:type="dxa" w:w="3322"/>
          </w:tcPr>
          <w:p>
            <w:pPr>
              <w:pStyle w:val="null3"/>
            </w:pPr>
            <w:r>
              <w:rPr/>
              <w:t>签署政府采购领域商业贿赂承诺书</w:t>
            </w:r>
          </w:p>
        </w:tc>
        <w:tc>
          <w:tcPr>
            <w:tcW w:type="dxa" w:w="1661"/>
          </w:tcPr>
          <w:p>
            <w:pPr>
              <w:pStyle w:val="null3"/>
            </w:pPr>
            <w:r>
              <w:rPr/>
              <w:t>拒绝政府采购领域商业贿赂承诺书</w:t>
            </w:r>
          </w:p>
        </w:tc>
      </w:tr>
      <w:tr>
        <w:tc>
          <w:tcPr>
            <w:tcW w:type="dxa" w:w="831"/>
          </w:tcPr>
          <w:p>
            <w:pPr>
              <w:pStyle w:val="null3"/>
            </w:pPr>
            <w:r>
              <w:rPr/>
              <w:t>9</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法定代表人授权书（附法定代表人、被授权人身份证复印件）及被授权人身份证（法定代表人直接参加磋商，须提供法定代表人身份证明及身份证复印件）；</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企业基本信息及项目经理（注册建造师）执业基本信息应在“陕西省住房和城乡建设厅（http://js.shaanxi.gov.cn/ ）陕西省建筑市场监管与诚信信息发布平台”可查询</w:t>
            </w:r>
          </w:p>
        </w:tc>
        <w:tc>
          <w:tcPr>
            <w:tcW w:type="dxa" w:w="3322"/>
          </w:tcPr>
          <w:p>
            <w:pPr>
              <w:pStyle w:val="null3"/>
            </w:pPr>
            <w:r>
              <w:rPr/>
              <w:t>提供查询截图（加盖单位公章）</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本项目不接受联合体磋商</w:t>
            </w:r>
          </w:p>
        </w:tc>
        <w:tc>
          <w:tcPr>
            <w:tcW w:type="dxa" w:w="3322"/>
          </w:tcPr>
          <w:p>
            <w:pPr>
              <w:pStyle w:val="null3"/>
            </w:pPr>
            <w:r>
              <w:rPr/>
              <w:t>本项目不接受联合体磋商（提供书面声明材料）。</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残疾人福利性单位声明函</w:t>
            </w:r>
          </w:p>
        </w:tc>
        <w:tc>
          <w:tcPr>
            <w:tcW w:type="dxa" w:w="3322"/>
          </w:tcPr>
          <w:p>
            <w:pPr>
              <w:pStyle w:val="null3"/>
            </w:pPr>
            <w:r>
              <w:rPr/>
              <w:t>按要求填写</w:t>
            </w:r>
          </w:p>
        </w:tc>
        <w:tc>
          <w:tcPr>
            <w:tcW w:type="dxa" w:w="1661"/>
          </w:tcPr>
          <w:p>
            <w:pPr>
              <w:pStyle w:val="null3"/>
            </w:pPr>
            <w:r>
              <w:rPr/>
              <w:t>残疾人福利性单位声明函</w:t>
            </w:r>
          </w:p>
        </w:tc>
      </w:tr>
      <w:tr>
        <w:tc>
          <w:tcPr>
            <w:tcW w:type="dxa" w:w="831"/>
          </w:tcPr>
          <w:p>
            <w:pPr>
              <w:pStyle w:val="null3"/>
            </w:pPr>
            <w:r>
              <w:rPr/>
              <w:t>3</w:t>
            </w:r>
          </w:p>
        </w:tc>
        <w:tc>
          <w:tcPr>
            <w:tcW w:type="dxa" w:w="2492"/>
          </w:tcPr>
          <w:p>
            <w:pPr>
              <w:pStyle w:val="null3"/>
            </w:pPr>
            <w:r>
              <w:rPr/>
              <w:t>监狱企业的证明文件</w:t>
            </w:r>
          </w:p>
        </w:tc>
        <w:tc>
          <w:tcPr>
            <w:tcW w:type="dxa" w:w="3322"/>
          </w:tcPr>
          <w:p>
            <w:pPr>
              <w:pStyle w:val="null3"/>
            </w:pPr>
            <w:r>
              <w:rPr/>
              <w:t>按要求填写</w:t>
            </w:r>
          </w:p>
        </w:tc>
        <w:tc>
          <w:tcPr>
            <w:tcW w:type="dxa" w:w="1661"/>
          </w:tcPr>
          <w:p>
            <w:pPr>
              <w:pStyle w:val="null3"/>
            </w:pPr>
            <w:r>
              <w:rPr/>
              <w:t>监狱企业的证明文件</w:t>
            </w:r>
          </w:p>
        </w:tc>
      </w:tr>
      <w:tr>
        <w:tc>
          <w:tcPr>
            <w:tcW w:type="dxa" w:w="831"/>
          </w:tcPr>
          <w:p>
            <w:pPr>
              <w:pStyle w:val="null3"/>
            </w:pPr>
            <w:r>
              <w:rPr/>
              <w:t>4</w:t>
            </w:r>
          </w:p>
        </w:tc>
        <w:tc>
          <w:tcPr>
            <w:tcW w:type="dxa" w:w="2492"/>
          </w:tcPr>
          <w:p>
            <w:pPr>
              <w:pStyle w:val="null3"/>
            </w:pPr>
            <w:r>
              <w:rPr/>
              <w:t>中小企业声明函</w:t>
            </w:r>
          </w:p>
        </w:tc>
        <w:tc>
          <w:tcPr>
            <w:tcW w:type="dxa" w:w="3322"/>
          </w:tcPr>
          <w:p>
            <w:pPr>
              <w:pStyle w:val="null3"/>
            </w:pPr>
            <w:r>
              <w:rPr/>
              <w:t>按要求填写</w:t>
            </w:r>
          </w:p>
        </w:tc>
        <w:tc>
          <w:tcPr>
            <w:tcW w:type="dxa" w:w="1661"/>
          </w:tcPr>
          <w:p>
            <w:pPr>
              <w:pStyle w:val="null3"/>
            </w:pPr>
            <w:r>
              <w:rPr/>
              <w:t>中小企业声明函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要求方案针对性强，完整可行，计划合理，能满足采购人的实际需求。 1、方案明确、细节考虑到位，有针对性、有实施能力，赋5-10分； 2、方案、细节基本明确、可行，赋2-5（含）分； 3、方案内容简单粗略，赋0-1（含）分。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确保工程质量的 技术组织措施</w:t>
            </w:r>
          </w:p>
        </w:tc>
        <w:tc>
          <w:tcPr>
            <w:tcW w:type="dxa" w:w="2492"/>
          </w:tcPr>
          <w:p>
            <w:pPr>
              <w:pStyle w:val="null3"/>
            </w:pPr>
            <w:r>
              <w:rPr/>
              <w:t>1、措施详尽、合理、针对性强，赋2-6分； 2、措施笼统简单，赋0-1（含）分。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 技术组织措施</w:t>
            </w:r>
          </w:p>
        </w:tc>
        <w:tc>
          <w:tcPr>
            <w:tcW w:type="dxa" w:w="2492"/>
          </w:tcPr>
          <w:p>
            <w:pPr>
              <w:pStyle w:val="null3"/>
            </w:pPr>
            <w:r>
              <w:rPr/>
              <w:t>1、措施详尽、合理、针对性强，赋2-6分； 2、措施笼统简单，赋0-1（含）分。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确保文明施工的 技术组织措施</w:t>
            </w:r>
          </w:p>
        </w:tc>
        <w:tc>
          <w:tcPr>
            <w:tcW w:type="dxa" w:w="2492"/>
          </w:tcPr>
          <w:p>
            <w:pPr>
              <w:pStyle w:val="null3"/>
            </w:pPr>
            <w:r>
              <w:rPr/>
              <w:t>1、措施详尽、合理、针对性强，赋2-6分； 2、措施笼统简单，赋0-1（含）分。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确保环境保护的 技术组织措施</w:t>
            </w:r>
          </w:p>
        </w:tc>
        <w:tc>
          <w:tcPr>
            <w:tcW w:type="dxa" w:w="2492"/>
          </w:tcPr>
          <w:p>
            <w:pPr>
              <w:pStyle w:val="null3"/>
            </w:pPr>
            <w:r>
              <w:rPr/>
              <w:t>1、措施详尽、合理、针对性强，赋2-6分； 2、措施笼统简单，赋0-1（含）分。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 组织措施</w:t>
            </w:r>
          </w:p>
        </w:tc>
        <w:tc>
          <w:tcPr>
            <w:tcW w:type="dxa" w:w="2492"/>
          </w:tcPr>
          <w:p>
            <w:pPr>
              <w:pStyle w:val="null3"/>
            </w:pPr>
            <w:r>
              <w:rPr/>
              <w:t>1、措施详尽、合理、针对性强，赋2-6分； 2、措施笼统简单，赋0-1（含）分。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施工组织、项目 管理机构与劳动 力安排计划</w:t>
            </w:r>
          </w:p>
        </w:tc>
        <w:tc>
          <w:tcPr>
            <w:tcW w:type="dxa" w:w="2492"/>
          </w:tcPr>
          <w:p>
            <w:pPr>
              <w:pStyle w:val="null3"/>
            </w:pPr>
            <w:r>
              <w:rPr/>
              <w:t>1、人员配备合理、分工明确、管理制度完善，赋2-5分； 2、人员配备简单、分工模糊、管理制度粗略，赋0-1（含）分。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施工总平面布置</w:t>
            </w:r>
          </w:p>
        </w:tc>
        <w:tc>
          <w:tcPr>
            <w:tcW w:type="dxa" w:w="2492"/>
          </w:tcPr>
          <w:p>
            <w:pPr>
              <w:pStyle w:val="null3"/>
            </w:pPr>
            <w:r>
              <w:rPr/>
              <w:t>施工总平面布置合理、可行赋0-4分。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施工机械设施齐全，性能指标及材料投入能够满足项目要求。根据证明材料进行赋分。 1、提供的证明材料齐全，满足项目要求，赋2-5分； 2、提供的证明材料笼统简单，赋0-1（含）分。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提供2020年至今类似项目（以施工合同复印件加盖公章为准）每个计1分，最高得3分。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项目完工后的维 修及保修承诺</w:t>
            </w:r>
          </w:p>
        </w:tc>
        <w:tc>
          <w:tcPr>
            <w:tcW w:type="dxa" w:w="2492"/>
          </w:tcPr>
          <w:p>
            <w:pPr>
              <w:pStyle w:val="null3"/>
            </w:pPr>
            <w:r>
              <w:rPr/>
              <w:t>项目完工后的维修服务及保修承诺：全面、可行、完善计4-7分，服务及承诺较详细，相关工作基本落实计2-4（含）分，服务及承诺粗略简单、无针对性计0-1（含）分。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企业实力</w:t>
            </w:r>
          </w:p>
        </w:tc>
        <w:tc>
          <w:tcPr>
            <w:tcW w:type="dxa" w:w="2492"/>
          </w:tcPr>
          <w:p>
            <w:pPr>
              <w:pStyle w:val="null3"/>
            </w:pPr>
            <w:r>
              <w:rPr/>
              <w:t>1.为保证产品质量，能提供材料生产企业的真石漆喷涂样版的得2分，未提供者不得分； 2.开标现场可进行主材料真石漆施工性能测试的得2分，未提供者不得分； 3.能提供保证主要材料真石漆的颜色及性能稳定的厂家生产设施设备相关证书的得2分，未提供者不得分；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（1）本次招标设最高限价。供应商的磋商总报价超过最高限价的视为无效标，不再参与下一步评审。 （2）满足磋商文件实质性要求且最终报价最低的供应商报价为评标基准价，其价格分为满分30分。 其他供应商报价计算公式如下：磋商报价得分=（评标基准价/最终磋商报价）×30。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详见附件：法定代表人授权书</w:t>
      </w:r>
    </w:p>
    <w:p>
      <w:pPr>
        <w:pStyle w:val="null3"/>
        <w:ind w:firstLine="960"/>
      </w:pPr>
      <w:r>
        <w:rPr/>
        <w:t>详见附件：拒绝政府采购领域商业贿赂承诺书</w:t>
      </w:r>
    </w:p>
    <w:p>
      <w:pPr>
        <w:pStyle w:val="null3"/>
      </w:pPr>
      <w:r>
        <w:rPr/>
        <w:t xml:space="preserve"> </w:t>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