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29675">
      <w:pPr>
        <w:spacing w:line="360" w:lineRule="auto"/>
        <w:ind w:left="1080" w:leftChars="257" w:hanging="540"/>
        <w:jc w:val="center"/>
        <w:outlineLvl w:val="0"/>
        <w:rPr>
          <w:rFonts w:hint="eastAsia" w:ascii="仿宋" w:hAnsi="仿宋" w:eastAsia="仿宋"/>
          <w:lang w:eastAsia="zh-CN"/>
        </w:rPr>
      </w:pPr>
      <w:r>
        <w:rPr>
          <w:rStyle w:val="7"/>
          <w:rFonts w:ascii="仿宋" w:hAnsi="仿宋" w:eastAsia="仿宋"/>
          <w:szCs w:val="32"/>
        </w:rPr>
        <w:t>合同文本</w:t>
      </w:r>
      <w:r>
        <w:rPr>
          <w:rStyle w:val="7"/>
          <w:rFonts w:hint="eastAsia" w:ascii="仿宋" w:hAnsi="仿宋" w:eastAsia="仿宋"/>
          <w:szCs w:val="32"/>
          <w:lang w:eastAsia="zh-CN"/>
        </w:rPr>
        <w:t>（参考）</w:t>
      </w:r>
    </w:p>
    <w:p w14:paraId="5F564AAD">
      <w:pPr>
        <w:spacing w:line="360" w:lineRule="auto"/>
        <w:rPr>
          <w:rFonts w:ascii="仿宋" w:hAnsi="仿宋" w:eastAsia="仿宋"/>
          <w:b/>
          <w:kern w:val="44"/>
          <w:sz w:val="32"/>
          <w:szCs w:val="20"/>
        </w:rPr>
      </w:pPr>
    </w:p>
    <w:p w14:paraId="32BDA0AA">
      <w:pPr>
        <w:tabs>
          <w:tab w:val="left" w:pos="735"/>
        </w:tabs>
        <w:autoSpaceDE w:val="0"/>
        <w:autoSpaceDN w:val="0"/>
        <w:snapToGrid w:val="0"/>
        <w:spacing w:before="312" w:line="360" w:lineRule="auto"/>
        <w:rPr>
          <w:rFonts w:ascii="仿宋" w:hAnsi="仿宋" w:eastAsia="仿宋"/>
          <w:b/>
          <w:bCs/>
          <w:sz w:val="24"/>
          <w:lang w:val="zh-CN"/>
        </w:rPr>
      </w:pPr>
      <w:r>
        <w:rPr>
          <w:rFonts w:hint="eastAsia" w:ascii="仿宋" w:hAnsi="仿宋" w:eastAsia="仿宋"/>
          <w:b/>
          <w:bCs/>
          <w:sz w:val="24"/>
          <w:lang w:val="zh-CN"/>
        </w:rPr>
        <w:t>甲方：</w:t>
      </w:r>
      <w:r>
        <w:rPr>
          <w:rFonts w:hint="eastAsia" w:ascii="仿宋" w:hAnsi="仿宋" w:eastAsia="仿宋"/>
          <w:bCs/>
          <w:sz w:val="24"/>
          <w:lang w:val="zh-CN"/>
        </w:rPr>
        <w:t>（前款所称采购人）     住所：</w:t>
      </w:r>
      <w:bookmarkStart w:id="10" w:name="_GoBack"/>
      <w:bookmarkEnd w:id="10"/>
    </w:p>
    <w:p w14:paraId="3CEAEFCF">
      <w:pPr>
        <w:tabs>
          <w:tab w:val="left" w:pos="735"/>
        </w:tabs>
        <w:autoSpaceDE w:val="0"/>
        <w:autoSpaceDN w:val="0"/>
        <w:snapToGrid w:val="0"/>
        <w:spacing w:line="360" w:lineRule="auto"/>
        <w:rPr>
          <w:rFonts w:ascii="仿宋" w:hAnsi="仿宋" w:eastAsia="仿宋"/>
          <w:b/>
          <w:bCs/>
          <w:sz w:val="24"/>
          <w:lang w:val="zh-CN"/>
        </w:rPr>
      </w:pPr>
      <w:r>
        <w:rPr>
          <w:rFonts w:hint="eastAsia" w:ascii="仿宋" w:hAnsi="仿宋" w:eastAsia="仿宋"/>
          <w:b/>
          <w:bCs/>
          <w:sz w:val="24"/>
          <w:lang w:val="zh-CN"/>
        </w:rPr>
        <w:t>乙方：</w:t>
      </w:r>
      <w:r>
        <w:rPr>
          <w:rFonts w:hint="eastAsia" w:ascii="仿宋" w:hAnsi="仿宋" w:eastAsia="仿宋"/>
          <w:bCs/>
          <w:sz w:val="24"/>
          <w:lang w:val="zh-CN"/>
        </w:rPr>
        <w:t>（前款所称中标人）     住所：</w:t>
      </w:r>
    </w:p>
    <w:p w14:paraId="4F8643F6">
      <w:pPr>
        <w:pStyle w:val="3"/>
        <w:rPr>
          <w:rFonts w:ascii="仿宋" w:hAnsi="仿宋" w:eastAsia="仿宋"/>
          <w:lang w:val="zh-CN"/>
        </w:rPr>
      </w:pPr>
    </w:p>
    <w:p w14:paraId="13B6E367">
      <w:pPr>
        <w:snapToGrid w:val="0"/>
        <w:spacing w:line="360" w:lineRule="auto"/>
        <w:ind w:firstLine="480" w:firstLineChars="200"/>
        <w:rPr>
          <w:rFonts w:ascii="仿宋" w:hAnsi="仿宋" w:eastAsia="仿宋"/>
          <w:sz w:val="24"/>
        </w:rPr>
      </w:pPr>
      <w:bookmarkStart w:id="0" w:name="_Toc19515384"/>
      <w:bookmarkEnd w:id="0"/>
      <w:r>
        <w:rPr>
          <w:rFonts w:hint="eastAsia" w:ascii="仿宋" w:hAnsi="仿宋" w:eastAsia="仿宋"/>
          <w:sz w:val="24"/>
        </w:rPr>
        <w:t>一、合同内容（标的、数量、质量等）:</w:t>
      </w:r>
    </w:p>
    <w:p w14:paraId="5CAD7837">
      <w:pPr>
        <w:snapToGrid w:val="0"/>
        <w:spacing w:line="360" w:lineRule="auto"/>
        <w:ind w:firstLine="480" w:firstLineChars="200"/>
        <w:rPr>
          <w:rFonts w:ascii="仿宋" w:hAnsi="仿宋" w:eastAsia="仿宋"/>
          <w:sz w:val="24"/>
        </w:rPr>
      </w:pPr>
      <w:bookmarkStart w:id="1" w:name="_Toc19515385"/>
      <w:bookmarkEnd w:id="1"/>
      <w:r>
        <w:rPr>
          <w:rFonts w:hint="eastAsia" w:ascii="仿宋" w:hAnsi="仿宋" w:eastAsia="仿宋"/>
          <w:sz w:val="24"/>
        </w:rPr>
        <w:t>二、合同价款</w:t>
      </w:r>
    </w:p>
    <w:p w14:paraId="5DB8AB6C">
      <w:pPr>
        <w:snapToGrid w:val="0"/>
        <w:spacing w:line="360" w:lineRule="auto"/>
        <w:ind w:firstLine="480" w:firstLineChars="200"/>
        <w:rPr>
          <w:rFonts w:ascii="仿宋" w:hAnsi="仿宋" w:eastAsia="仿宋"/>
          <w:sz w:val="24"/>
        </w:rPr>
      </w:pPr>
      <w:r>
        <w:rPr>
          <w:rFonts w:hint="eastAsia" w:ascii="仿宋" w:hAnsi="仿宋" w:eastAsia="仿宋"/>
          <w:sz w:val="24"/>
        </w:rPr>
        <w:t>1、合同总价：</w:t>
      </w:r>
    </w:p>
    <w:p w14:paraId="5F488801">
      <w:pPr>
        <w:snapToGrid w:val="0"/>
        <w:spacing w:line="360" w:lineRule="auto"/>
        <w:ind w:firstLine="480" w:firstLineChars="200"/>
        <w:rPr>
          <w:rFonts w:ascii="仿宋" w:hAnsi="仿宋" w:eastAsia="仿宋"/>
          <w:sz w:val="24"/>
        </w:rPr>
      </w:pPr>
      <w:r>
        <w:rPr>
          <w:rFonts w:hint="eastAsia" w:ascii="仿宋" w:hAnsi="仿宋" w:eastAsia="仿宋"/>
          <w:sz w:val="24"/>
        </w:rPr>
        <w:t>2、合同总价包括：设备安装调试达到使用条件的价格，包括：设备供应价、运杂费（含保险费）、培训费、安装调试费等其它一切费用。</w:t>
      </w:r>
    </w:p>
    <w:p w14:paraId="363026AD">
      <w:pPr>
        <w:snapToGrid w:val="0"/>
        <w:spacing w:line="360" w:lineRule="auto"/>
        <w:ind w:firstLine="480" w:firstLineChars="200"/>
        <w:rPr>
          <w:rFonts w:ascii="仿宋" w:hAnsi="仿宋" w:eastAsia="仿宋"/>
          <w:sz w:val="24"/>
        </w:rPr>
      </w:pPr>
      <w:r>
        <w:rPr>
          <w:rFonts w:hint="eastAsia" w:ascii="仿宋" w:hAnsi="仿宋" w:eastAsia="仿宋"/>
          <w:sz w:val="24"/>
        </w:rPr>
        <w:t>3、合同为固定总价合同，不受市场价变化的影响。</w:t>
      </w:r>
    </w:p>
    <w:p w14:paraId="59B85D3D">
      <w:pPr>
        <w:snapToGrid w:val="0"/>
        <w:spacing w:line="360" w:lineRule="auto"/>
        <w:ind w:firstLine="480" w:firstLineChars="200"/>
        <w:rPr>
          <w:rFonts w:ascii="仿宋" w:hAnsi="仿宋" w:eastAsia="仿宋"/>
          <w:sz w:val="24"/>
        </w:rPr>
      </w:pPr>
      <w:bookmarkStart w:id="2" w:name="_Toc19515386"/>
      <w:bookmarkEnd w:id="2"/>
      <w:r>
        <w:rPr>
          <w:rFonts w:hint="eastAsia" w:ascii="仿宋" w:hAnsi="仿宋" w:eastAsia="仿宋"/>
          <w:sz w:val="24"/>
        </w:rPr>
        <w:t>三、合同结算</w:t>
      </w:r>
    </w:p>
    <w:p w14:paraId="5B4BB8E5">
      <w:pPr>
        <w:snapToGrid w:val="0"/>
        <w:spacing w:line="360" w:lineRule="auto"/>
        <w:ind w:firstLine="480" w:firstLineChars="200"/>
        <w:rPr>
          <w:rFonts w:ascii="仿宋" w:hAnsi="仿宋" w:eastAsia="仿宋"/>
          <w:sz w:val="24"/>
        </w:rPr>
      </w:pPr>
      <w:r>
        <w:rPr>
          <w:rFonts w:hint="eastAsia" w:ascii="仿宋" w:hAnsi="仿宋" w:eastAsia="仿宋"/>
          <w:sz w:val="24"/>
        </w:rPr>
        <w:t>1、付款比例：</w:t>
      </w:r>
    </w:p>
    <w:p w14:paraId="399E03FB">
      <w:pPr>
        <w:snapToGrid w:val="0"/>
        <w:spacing w:line="360" w:lineRule="auto"/>
        <w:ind w:firstLine="480" w:firstLineChars="200"/>
        <w:rPr>
          <w:rFonts w:hint="eastAsia"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lang w:val="en-US" w:eastAsia="zh-CN"/>
          <w14:textFill>
            <w14:solidFill>
              <w14:schemeClr w14:val="tx1"/>
            </w14:solidFill>
          </w14:textFill>
        </w:rPr>
        <w:t>(1)</w:t>
      </w:r>
      <w:r>
        <w:rPr>
          <w:rFonts w:hint="eastAsia" w:ascii="仿宋" w:hAnsi="仿宋" w:eastAsia="仿宋"/>
          <w:color w:val="000000" w:themeColor="text1"/>
          <w:sz w:val="24"/>
          <w14:textFill>
            <w14:solidFill>
              <w14:schemeClr w14:val="tx1"/>
            </w14:solidFill>
          </w14:textFill>
        </w:rPr>
        <w:t> 货到验收合格并安装调试完成 ，达到付款条件起 15 日内，支付合同总金额的 95.00%。</w:t>
      </w:r>
    </w:p>
    <w:p w14:paraId="566F6C2B">
      <w:pPr>
        <w:snapToGrid w:val="0"/>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lang w:val="en-US" w:eastAsia="zh-CN"/>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质保期满（质保期一年） ，达到付款条件起 15 日内，支付合同总金额的 5.00%。</w:t>
      </w:r>
    </w:p>
    <w:p w14:paraId="61C97691">
      <w:pPr>
        <w:snapToGrid w:val="0"/>
        <w:spacing w:line="360" w:lineRule="auto"/>
        <w:ind w:firstLine="480" w:firstLineChars="200"/>
        <w:rPr>
          <w:rFonts w:ascii="仿宋" w:hAnsi="仿宋" w:eastAsia="仿宋"/>
          <w:sz w:val="24"/>
        </w:rPr>
      </w:pPr>
      <w:r>
        <w:rPr>
          <w:rFonts w:hint="eastAsia" w:ascii="仿宋" w:hAnsi="仿宋" w:eastAsia="仿宋"/>
          <w:sz w:val="24"/>
        </w:rPr>
        <w:t>2、结算方式：银行转账。</w:t>
      </w:r>
    </w:p>
    <w:p w14:paraId="1C25B77C">
      <w:pPr>
        <w:snapToGrid w:val="0"/>
        <w:spacing w:line="360" w:lineRule="auto"/>
        <w:ind w:firstLine="480" w:firstLineChars="200"/>
        <w:rPr>
          <w:rFonts w:ascii="仿宋" w:hAnsi="仿宋" w:eastAsia="仿宋"/>
          <w:sz w:val="24"/>
        </w:rPr>
      </w:pPr>
      <w:r>
        <w:rPr>
          <w:rFonts w:hint="eastAsia" w:ascii="仿宋" w:hAnsi="仿宋" w:eastAsia="仿宋"/>
          <w:sz w:val="24"/>
        </w:rPr>
        <w:t>3、结算单位：由甲方负责结算，乙方开具合同总价数的全额发票交甲方。</w:t>
      </w:r>
    </w:p>
    <w:p w14:paraId="2410F9A6">
      <w:pPr>
        <w:snapToGrid w:val="0"/>
        <w:spacing w:line="360" w:lineRule="auto"/>
        <w:ind w:firstLine="480" w:firstLineChars="200"/>
        <w:rPr>
          <w:rFonts w:ascii="仿宋" w:hAnsi="仿宋" w:eastAsia="仿宋"/>
          <w:sz w:val="24"/>
        </w:rPr>
      </w:pPr>
      <w:bookmarkStart w:id="3" w:name="_Toc19515387"/>
      <w:bookmarkEnd w:id="3"/>
      <w:r>
        <w:rPr>
          <w:rFonts w:hint="eastAsia" w:ascii="仿宋" w:hAnsi="仿宋" w:eastAsia="仿宋"/>
          <w:sz w:val="24"/>
        </w:rPr>
        <w:t>四、</w:t>
      </w:r>
      <w:r>
        <w:rPr>
          <w:rFonts w:hint="eastAsia" w:ascii="仿宋" w:hAnsi="仿宋" w:eastAsia="仿宋"/>
          <w:sz w:val="24"/>
          <w:lang w:eastAsia="zh-CN"/>
        </w:rPr>
        <w:t>供货</w:t>
      </w:r>
      <w:r>
        <w:rPr>
          <w:rFonts w:hint="eastAsia" w:ascii="仿宋" w:hAnsi="仿宋" w:eastAsia="仿宋"/>
          <w:sz w:val="24"/>
        </w:rPr>
        <w:t>期限、地点及方式:</w:t>
      </w:r>
    </w:p>
    <w:p w14:paraId="5C3AF1AF">
      <w:pPr>
        <w:snapToGrid w:val="0"/>
        <w:spacing w:line="360" w:lineRule="auto"/>
        <w:ind w:firstLine="480" w:firstLineChars="200"/>
        <w:rPr>
          <w:rFonts w:hint="eastAsia" w:ascii="仿宋" w:hAnsi="仿宋" w:eastAsia="仿宋"/>
          <w:sz w:val="24"/>
          <w:lang w:val="en-US" w:eastAsia="zh-CN"/>
        </w:rPr>
      </w:pPr>
      <w:r>
        <w:rPr>
          <w:rFonts w:hint="eastAsia" w:ascii="仿宋" w:hAnsi="仿宋" w:eastAsia="仿宋"/>
          <w:sz w:val="24"/>
        </w:rPr>
        <w:t>1、</w:t>
      </w:r>
      <w:r>
        <w:rPr>
          <w:rFonts w:hint="eastAsia" w:ascii="仿宋" w:hAnsi="仿宋" w:eastAsia="仿宋"/>
          <w:sz w:val="24"/>
          <w:lang w:eastAsia="zh-CN"/>
        </w:rPr>
        <w:t>供货</w:t>
      </w:r>
      <w:r>
        <w:rPr>
          <w:rFonts w:hint="eastAsia" w:ascii="仿宋" w:hAnsi="仿宋" w:eastAsia="仿宋"/>
          <w:color w:val="000000" w:themeColor="text1"/>
          <w:sz w:val="24"/>
          <w14:textFill>
            <w14:solidFill>
              <w14:schemeClr w14:val="tx1"/>
            </w14:solidFill>
          </w14:textFill>
        </w:rPr>
        <w:t>期限：合同签订后</w:t>
      </w:r>
      <w:r>
        <w:rPr>
          <w:rFonts w:hint="eastAsia" w:ascii="仿宋" w:hAnsi="仿宋" w:eastAsia="仿宋"/>
          <w:color w:val="000000" w:themeColor="text1"/>
          <w:sz w:val="24"/>
          <w:lang w:val="en-US" w:eastAsia="zh-CN"/>
          <w14:textFill>
            <w14:solidFill>
              <w14:schemeClr w14:val="tx1"/>
            </w14:solidFill>
          </w14:textFill>
        </w:rPr>
        <w:t>30</w:t>
      </w:r>
      <w:r>
        <w:rPr>
          <w:rFonts w:hint="eastAsia" w:ascii="仿宋" w:hAnsi="仿宋" w:eastAsia="仿宋"/>
          <w:color w:val="000000" w:themeColor="text1"/>
          <w:sz w:val="24"/>
          <w14:textFill>
            <w14:solidFill>
              <w14:schemeClr w14:val="tx1"/>
            </w14:solidFill>
          </w14:textFill>
        </w:rPr>
        <w:t>日历天</w:t>
      </w:r>
      <w:r>
        <w:rPr>
          <w:rFonts w:hint="eastAsia" w:ascii="仿宋" w:hAnsi="仿宋" w:eastAsia="仿宋"/>
          <w:color w:val="000000" w:themeColor="text1"/>
          <w:sz w:val="24"/>
          <w:lang w:eastAsia="zh-CN"/>
          <w14:textFill>
            <w14:solidFill>
              <w14:schemeClr w14:val="tx1"/>
            </w14:solidFill>
          </w14:textFill>
        </w:rPr>
        <w:t>内安装、调试完成。</w:t>
      </w:r>
    </w:p>
    <w:p w14:paraId="4F7D6A5A">
      <w:pPr>
        <w:snapToGrid w:val="0"/>
        <w:spacing w:line="360" w:lineRule="auto"/>
        <w:ind w:firstLine="480" w:firstLineChars="200"/>
        <w:rPr>
          <w:rFonts w:ascii="仿宋" w:hAnsi="仿宋" w:eastAsia="仿宋"/>
          <w:sz w:val="24"/>
        </w:rPr>
      </w:pPr>
      <w:r>
        <w:rPr>
          <w:rFonts w:hint="eastAsia" w:ascii="仿宋" w:hAnsi="仿宋" w:eastAsia="仿宋"/>
          <w:sz w:val="24"/>
        </w:rPr>
        <w:t>2、地点：</w:t>
      </w:r>
      <w:r>
        <w:rPr>
          <w:rFonts w:hint="eastAsia" w:ascii="仿宋" w:hAnsi="仿宋" w:eastAsia="仿宋"/>
          <w:sz w:val="24"/>
          <w:lang w:eastAsia="zh-CN"/>
        </w:rPr>
        <w:t>采购人</w:t>
      </w:r>
      <w:r>
        <w:rPr>
          <w:rFonts w:hint="eastAsia" w:ascii="仿宋" w:hAnsi="仿宋" w:eastAsia="仿宋"/>
          <w:sz w:val="24"/>
        </w:rPr>
        <w:t>指定地点</w:t>
      </w:r>
    </w:p>
    <w:p w14:paraId="04F1D60D">
      <w:pPr>
        <w:snapToGrid w:val="0"/>
        <w:spacing w:line="360" w:lineRule="auto"/>
        <w:ind w:firstLine="480" w:firstLineChars="200"/>
        <w:rPr>
          <w:rFonts w:ascii="仿宋" w:hAnsi="仿宋" w:eastAsia="仿宋"/>
          <w:sz w:val="24"/>
        </w:rPr>
      </w:pPr>
      <w:r>
        <w:rPr>
          <w:rFonts w:hint="eastAsia" w:ascii="仿宋" w:hAnsi="仿宋" w:eastAsia="仿宋"/>
          <w:sz w:val="24"/>
        </w:rPr>
        <w:t>3、方式：</w:t>
      </w:r>
    </w:p>
    <w:p w14:paraId="586B39F6">
      <w:pPr>
        <w:snapToGrid w:val="0"/>
        <w:spacing w:line="360" w:lineRule="auto"/>
        <w:ind w:firstLine="480" w:firstLineChars="200"/>
        <w:rPr>
          <w:rFonts w:ascii="仿宋" w:hAnsi="仿宋" w:eastAsia="仿宋"/>
          <w:sz w:val="24"/>
        </w:rPr>
      </w:pPr>
      <w:bookmarkStart w:id="4" w:name="_Toc19515390"/>
      <w:bookmarkEnd w:id="4"/>
      <w:r>
        <w:rPr>
          <w:rFonts w:hint="eastAsia" w:ascii="仿宋" w:hAnsi="仿宋" w:eastAsia="仿宋"/>
          <w:sz w:val="24"/>
        </w:rPr>
        <w:t>五、技术服务</w:t>
      </w:r>
    </w:p>
    <w:p w14:paraId="3C800FE6">
      <w:pPr>
        <w:snapToGrid w:val="0"/>
        <w:spacing w:line="360" w:lineRule="auto"/>
        <w:ind w:firstLine="480" w:firstLineChars="200"/>
        <w:rPr>
          <w:rFonts w:ascii="仿宋" w:hAnsi="仿宋" w:eastAsia="仿宋"/>
          <w:sz w:val="24"/>
        </w:rPr>
      </w:pPr>
      <w:r>
        <w:rPr>
          <w:rFonts w:hint="eastAsia" w:ascii="仿宋" w:hAnsi="仿宋" w:eastAsia="仿宋"/>
          <w:sz w:val="24"/>
        </w:rPr>
        <w:t>1、对技术服务的要求：</w:t>
      </w:r>
    </w:p>
    <w:p w14:paraId="47598BA2">
      <w:pPr>
        <w:snapToGrid w:val="0"/>
        <w:spacing w:line="360" w:lineRule="auto"/>
        <w:ind w:firstLine="480" w:firstLineChars="200"/>
        <w:rPr>
          <w:rFonts w:ascii="仿宋" w:hAnsi="仿宋" w:eastAsia="仿宋"/>
          <w:sz w:val="24"/>
        </w:rPr>
      </w:pPr>
      <w:r>
        <w:rPr>
          <w:rFonts w:hint="eastAsia" w:ascii="仿宋" w:hAnsi="仿宋" w:eastAsia="仿宋"/>
          <w:sz w:val="24"/>
        </w:rPr>
        <w:t>2、技术资料：</w:t>
      </w:r>
    </w:p>
    <w:p w14:paraId="3DA3A423">
      <w:pPr>
        <w:snapToGrid w:val="0"/>
        <w:spacing w:line="360" w:lineRule="auto"/>
        <w:ind w:firstLine="480" w:firstLineChars="200"/>
        <w:rPr>
          <w:rFonts w:ascii="仿宋" w:hAnsi="仿宋" w:eastAsia="仿宋"/>
          <w:sz w:val="24"/>
        </w:rPr>
      </w:pPr>
      <w:r>
        <w:rPr>
          <w:rFonts w:hint="eastAsia" w:ascii="仿宋" w:hAnsi="仿宋" w:eastAsia="仿宋"/>
          <w:sz w:val="24"/>
        </w:rPr>
        <w:t>3、技术培训：</w:t>
      </w:r>
    </w:p>
    <w:p w14:paraId="52DA4771">
      <w:pPr>
        <w:snapToGrid w:val="0"/>
        <w:spacing w:line="360" w:lineRule="auto"/>
        <w:ind w:firstLine="480" w:firstLineChars="200"/>
        <w:rPr>
          <w:rFonts w:ascii="仿宋" w:hAnsi="仿宋" w:eastAsia="仿宋"/>
          <w:sz w:val="24"/>
        </w:rPr>
      </w:pPr>
      <w:r>
        <w:rPr>
          <w:rFonts w:hint="eastAsia" w:ascii="仿宋" w:hAnsi="仿宋" w:eastAsia="仿宋"/>
          <w:sz w:val="24"/>
        </w:rPr>
        <w:t>3-1、培训内容：</w:t>
      </w:r>
    </w:p>
    <w:p w14:paraId="56F81F84">
      <w:pPr>
        <w:snapToGrid w:val="0"/>
        <w:spacing w:line="360" w:lineRule="auto"/>
        <w:ind w:firstLine="480" w:firstLineChars="200"/>
        <w:rPr>
          <w:rFonts w:ascii="仿宋" w:hAnsi="仿宋" w:eastAsia="仿宋"/>
          <w:sz w:val="24"/>
        </w:rPr>
      </w:pPr>
      <w:r>
        <w:rPr>
          <w:rFonts w:hint="eastAsia" w:ascii="仿宋" w:hAnsi="仿宋" w:eastAsia="仿宋"/>
          <w:sz w:val="24"/>
        </w:rPr>
        <w:t>3-2、培训地点：</w:t>
      </w:r>
    </w:p>
    <w:p w14:paraId="461AF02E">
      <w:pPr>
        <w:snapToGrid w:val="0"/>
        <w:spacing w:line="360" w:lineRule="auto"/>
        <w:ind w:firstLine="480" w:firstLineChars="200"/>
        <w:rPr>
          <w:rFonts w:ascii="仿宋" w:hAnsi="仿宋" w:eastAsia="仿宋"/>
          <w:sz w:val="24"/>
        </w:rPr>
      </w:pPr>
      <w:r>
        <w:rPr>
          <w:rFonts w:hint="eastAsia" w:ascii="仿宋" w:hAnsi="仿宋" w:eastAsia="仿宋"/>
          <w:sz w:val="24"/>
        </w:rPr>
        <w:t>3-3、培训时间：</w:t>
      </w:r>
    </w:p>
    <w:p w14:paraId="7DE8D8B6">
      <w:pPr>
        <w:snapToGrid w:val="0"/>
        <w:spacing w:line="360" w:lineRule="auto"/>
        <w:ind w:firstLine="480" w:firstLineChars="200"/>
        <w:rPr>
          <w:rFonts w:ascii="仿宋" w:hAnsi="仿宋" w:eastAsia="仿宋"/>
          <w:sz w:val="24"/>
        </w:rPr>
      </w:pPr>
      <w:r>
        <w:rPr>
          <w:rFonts w:hint="eastAsia" w:ascii="仿宋" w:hAnsi="仿宋" w:eastAsia="仿宋"/>
          <w:sz w:val="24"/>
        </w:rPr>
        <w:t>3-4、培训人数：</w:t>
      </w:r>
    </w:p>
    <w:p w14:paraId="1765DC4C">
      <w:pPr>
        <w:snapToGrid w:val="0"/>
        <w:spacing w:line="360" w:lineRule="auto"/>
        <w:ind w:firstLine="480" w:firstLineChars="200"/>
        <w:rPr>
          <w:rFonts w:ascii="仿宋" w:hAnsi="仿宋" w:eastAsia="仿宋"/>
          <w:sz w:val="24"/>
        </w:rPr>
      </w:pPr>
      <w:r>
        <w:rPr>
          <w:rFonts w:hint="eastAsia" w:ascii="仿宋" w:hAnsi="仿宋" w:eastAsia="仿宋"/>
          <w:sz w:val="24"/>
        </w:rPr>
        <w:t>3-5、培训费用：受训人员的食宿费、资料费、培训场地费、耗材（包括水电费等）费等已包含在合同总价中由乙方承，甲方不再另行支付。</w:t>
      </w:r>
    </w:p>
    <w:p w14:paraId="32DAE9D8">
      <w:pPr>
        <w:snapToGrid w:val="0"/>
        <w:spacing w:line="360" w:lineRule="auto"/>
        <w:ind w:firstLine="480" w:firstLineChars="200"/>
        <w:rPr>
          <w:rFonts w:ascii="仿宋" w:hAnsi="仿宋" w:eastAsia="仿宋"/>
          <w:sz w:val="24"/>
        </w:rPr>
      </w:pPr>
      <w:r>
        <w:rPr>
          <w:rFonts w:hint="eastAsia" w:ascii="仿宋" w:hAnsi="仿宋" w:eastAsia="仿宋"/>
          <w:sz w:val="24"/>
        </w:rPr>
        <w:t>4、售后服务</w:t>
      </w:r>
    </w:p>
    <w:p w14:paraId="713955D8">
      <w:pPr>
        <w:snapToGrid w:val="0"/>
        <w:spacing w:line="360" w:lineRule="auto"/>
        <w:ind w:firstLine="480" w:firstLineChars="200"/>
        <w:rPr>
          <w:rFonts w:ascii="仿宋" w:hAnsi="仿宋" w:eastAsia="仿宋"/>
          <w:sz w:val="24"/>
        </w:rPr>
      </w:pPr>
      <w:r>
        <w:rPr>
          <w:rFonts w:hint="eastAsia" w:ascii="仿宋" w:hAnsi="仿宋" w:eastAsia="仿宋"/>
          <w:sz w:val="24"/>
        </w:rPr>
        <w:t>4-1、乙方在接到甲方电话通知后在</w:t>
      </w:r>
      <w:r>
        <w:rPr>
          <w:rFonts w:hint="eastAsia" w:ascii="仿宋" w:hAnsi="仿宋" w:eastAsia="仿宋"/>
          <w:sz w:val="24"/>
          <w:u w:val="single"/>
        </w:rPr>
        <w:t>12</w:t>
      </w:r>
      <w:r>
        <w:rPr>
          <w:rFonts w:hint="eastAsia" w:ascii="仿宋" w:hAnsi="仿宋" w:eastAsia="仿宋"/>
          <w:sz w:val="24"/>
        </w:rPr>
        <w:t>小时内派出合格的服务人员到达现场进行服务，承担相应费用。</w:t>
      </w:r>
    </w:p>
    <w:p w14:paraId="3E66D7A9">
      <w:pPr>
        <w:snapToGrid w:val="0"/>
        <w:spacing w:line="360" w:lineRule="auto"/>
        <w:ind w:firstLine="480" w:firstLineChars="200"/>
        <w:rPr>
          <w:rFonts w:ascii="仿宋" w:hAnsi="仿宋" w:eastAsia="仿宋"/>
          <w:sz w:val="24"/>
        </w:rPr>
      </w:pPr>
      <w:r>
        <w:rPr>
          <w:rFonts w:hint="eastAsia" w:ascii="仿宋" w:hAnsi="仿宋" w:eastAsia="仿宋"/>
          <w:sz w:val="24"/>
        </w:rPr>
        <w:t>4-2、如果乙方在收到通知后两天内没有弥补缺陷，甲方可采取必要的补救措施，但其风险和费用将由乙方承担，甲方根据合同规定对乙方行使的其它权力不受影响。</w:t>
      </w:r>
    </w:p>
    <w:p w14:paraId="09EC9875">
      <w:pPr>
        <w:snapToGrid w:val="0"/>
        <w:spacing w:line="360" w:lineRule="auto"/>
        <w:ind w:firstLine="480" w:firstLineChars="200"/>
        <w:rPr>
          <w:rFonts w:ascii="仿宋" w:hAnsi="仿宋" w:eastAsia="仿宋"/>
          <w:sz w:val="24"/>
        </w:rPr>
      </w:pPr>
      <w:bookmarkStart w:id="5" w:name="_Toc19515391"/>
      <w:bookmarkEnd w:id="5"/>
      <w:r>
        <w:rPr>
          <w:rFonts w:hint="eastAsia" w:ascii="仿宋" w:hAnsi="仿宋" w:eastAsia="仿宋"/>
          <w:sz w:val="24"/>
        </w:rPr>
        <w:t>六、验收</w:t>
      </w:r>
    </w:p>
    <w:p w14:paraId="29D90FAE">
      <w:pPr>
        <w:snapToGrid w:val="0"/>
        <w:spacing w:line="360" w:lineRule="auto"/>
        <w:ind w:firstLine="480" w:firstLineChars="200"/>
        <w:rPr>
          <w:rFonts w:ascii="仿宋" w:hAnsi="仿宋" w:eastAsia="仿宋"/>
          <w:sz w:val="24"/>
        </w:rPr>
      </w:pPr>
      <w:r>
        <w:rPr>
          <w:rFonts w:hint="eastAsia" w:ascii="仿宋" w:hAnsi="仿宋" w:eastAsia="仿宋"/>
          <w:sz w:val="24"/>
        </w:rPr>
        <w:t>1、验收：乙方完成服务内容后，向甲方提出验收申请，甲方接到乙方验收申请后组织验收（必要时可聘请相应专家或委托相应部门验收），验收合格后，出具使用验收合格证明。</w:t>
      </w:r>
    </w:p>
    <w:p w14:paraId="6EE18252">
      <w:pPr>
        <w:snapToGrid w:val="0"/>
        <w:spacing w:line="360" w:lineRule="auto"/>
        <w:ind w:firstLine="480" w:firstLineChars="200"/>
        <w:rPr>
          <w:rFonts w:ascii="仿宋" w:hAnsi="仿宋" w:eastAsia="仿宋"/>
          <w:sz w:val="24"/>
        </w:rPr>
      </w:pPr>
      <w:r>
        <w:rPr>
          <w:rFonts w:hint="eastAsia" w:ascii="仿宋" w:hAnsi="仿宋" w:eastAsia="仿宋"/>
          <w:sz w:val="24"/>
        </w:rPr>
        <w:t>2、最终验收：最终验收结果作为付款依据，乙方填写验收单，并向甲方提交实施过程中的所有资料（包含但不限于产品合格证、保修卡、注册证、使用说明、商检、报关单、培训记录），以便甲方日后管理和维护。</w:t>
      </w:r>
    </w:p>
    <w:p w14:paraId="335FD9C5">
      <w:pPr>
        <w:snapToGrid w:val="0"/>
        <w:spacing w:line="360" w:lineRule="auto"/>
        <w:ind w:firstLine="480" w:firstLineChars="200"/>
        <w:rPr>
          <w:rFonts w:ascii="仿宋" w:hAnsi="仿宋" w:eastAsia="仿宋"/>
          <w:sz w:val="24"/>
        </w:rPr>
      </w:pPr>
      <w:r>
        <w:rPr>
          <w:rFonts w:hint="eastAsia" w:ascii="仿宋" w:hAnsi="仿宋" w:eastAsia="仿宋"/>
          <w:sz w:val="24"/>
        </w:rPr>
        <w:t>3、质保期：质保期为验收合格后</w:t>
      </w:r>
      <w:r>
        <w:rPr>
          <w:rFonts w:hint="eastAsia" w:ascii="仿宋" w:hAnsi="仿宋" w:eastAsia="仿宋"/>
          <w:sz w:val="24"/>
          <w:u w:val="single"/>
          <w:lang w:val="en-US" w:eastAsia="zh-CN"/>
        </w:rPr>
        <w:t xml:space="preserve">   </w:t>
      </w:r>
      <w:r>
        <w:rPr>
          <w:rFonts w:hint="eastAsia" w:ascii="仿宋" w:hAnsi="仿宋" w:eastAsia="仿宋"/>
          <w:color w:val="000000" w:themeColor="text1"/>
          <w:sz w:val="24"/>
          <w14:textFill>
            <w14:solidFill>
              <w14:schemeClr w14:val="tx1"/>
            </w14:solidFill>
          </w14:textFill>
        </w:rPr>
        <w:t>个月</w:t>
      </w:r>
      <w:r>
        <w:rPr>
          <w:rFonts w:hint="eastAsia" w:ascii="仿宋" w:hAnsi="仿宋" w:eastAsia="仿宋"/>
          <w:sz w:val="24"/>
        </w:rPr>
        <w:t>，期间存在任何故障由乙方负责维修或更换，并承担全部费用（配件、人工费、运输费、更换等全部费用）。</w:t>
      </w:r>
    </w:p>
    <w:p w14:paraId="56710125">
      <w:pPr>
        <w:snapToGrid w:val="0"/>
        <w:spacing w:line="360" w:lineRule="auto"/>
        <w:ind w:firstLine="480" w:firstLineChars="200"/>
        <w:rPr>
          <w:rFonts w:ascii="仿宋" w:hAnsi="仿宋" w:eastAsia="仿宋"/>
          <w:sz w:val="24"/>
        </w:rPr>
      </w:pPr>
      <w:r>
        <w:rPr>
          <w:rFonts w:hint="eastAsia" w:ascii="仿宋" w:hAnsi="仿宋" w:eastAsia="仿宋"/>
          <w:sz w:val="24"/>
        </w:rPr>
        <w:t>4、验收依据：</w:t>
      </w:r>
    </w:p>
    <w:p w14:paraId="0069DBCE">
      <w:pPr>
        <w:snapToGrid w:val="0"/>
        <w:spacing w:line="360" w:lineRule="auto"/>
        <w:ind w:firstLine="480" w:firstLineChars="200"/>
        <w:rPr>
          <w:rFonts w:ascii="仿宋" w:hAnsi="仿宋" w:eastAsia="仿宋"/>
          <w:sz w:val="24"/>
        </w:rPr>
      </w:pPr>
      <w:r>
        <w:rPr>
          <w:rFonts w:hint="eastAsia" w:ascii="仿宋" w:hAnsi="仿宋" w:eastAsia="仿宋"/>
          <w:sz w:val="24"/>
        </w:rPr>
        <w:t>4-1、合同文本、合同附件、招标文件、投标文件。</w:t>
      </w:r>
    </w:p>
    <w:p w14:paraId="10937DE4">
      <w:pPr>
        <w:snapToGrid w:val="0"/>
        <w:spacing w:line="360" w:lineRule="auto"/>
        <w:ind w:firstLine="480" w:firstLineChars="200"/>
        <w:rPr>
          <w:rFonts w:ascii="仿宋" w:hAnsi="仿宋" w:eastAsia="仿宋"/>
          <w:sz w:val="24"/>
        </w:rPr>
      </w:pPr>
      <w:r>
        <w:rPr>
          <w:rFonts w:hint="eastAsia" w:ascii="仿宋" w:hAnsi="仿宋" w:eastAsia="仿宋"/>
          <w:sz w:val="24"/>
        </w:rPr>
        <w:t>4-2、国内相应的标准、规范。</w:t>
      </w:r>
    </w:p>
    <w:p w14:paraId="75CDE6BA">
      <w:pPr>
        <w:snapToGrid w:val="0"/>
        <w:spacing w:line="360" w:lineRule="auto"/>
        <w:ind w:firstLine="480" w:firstLineChars="200"/>
        <w:rPr>
          <w:rFonts w:ascii="仿宋" w:hAnsi="仿宋" w:eastAsia="仿宋"/>
          <w:sz w:val="24"/>
        </w:rPr>
      </w:pPr>
      <w:bookmarkStart w:id="6" w:name="_Toc19515392"/>
      <w:bookmarkEnd w:id="6"/>
      <w:r>
        <w:rPr>
          <w:rFonts w:hint="eastAsia" w:ascii="仿宋" w:hAnsi="仿宋" w:eastAsia="仿宋"/>
          <w:sz w:val="24"/>
        </w:rPr>
        <w:t>七、违约责任</w:t>
      </w:r>
    </w:p>
    <w:p w14:paraId="6875C725">
      <w:pPr>
        <w:snapToGrid w:val="0"/>
        <w:spacing w:line="360" w:lineRule="auto"/>
        <w:ind w:firstLine="480" w:firstLineChars="200"/>
        <w:rPr>
          <w:rFonts w:ascii="仿宋" w:hAnsi="仿宋" w:eastAsia="仿宋"/>
          <w:sz w:val="24"/>
        </w:rPr>
      </w:pPr>
      <w:r>
        <w:rPr>
          <w:rFonts w:hint="eastAsia" w:ascii="仿宋" w:hAnsi="仿宋" w:eastAsia="仿宋"/>
          <w:sz w:val="24"/>
        </w:rPr>
        <w:t>1、按《中华人民共和国民法典》中的相关条款执行。</w:t>
      </w:r>
    </w:p>
    <w:p w14:paraId="48380EA3">
      <w:pPr>
        <w:snapToGrid w:val="0"/>
        <w:spacing w:line="360" w:lineRule="auto"/>
        <w:ind w:firstLine="480" w:firstLineChars="200"/>
        <w:rPr>
          <w:rFonts w:ascii="仿宋" w:hAnsi="仿宋" w:eastAsia="仿宋"/>
          <w:sz w:val="24"/>
        </w:rPr>
      </w:pPr>
      <w:r>
        <w:rPr>
          <w:rFonts w:hint="eastAsia" w:ascii="仿宋" w:hAnsi="仿宋" w:eastAsia="仿宋"/>
          <w:sz w:val="24"/>
        </w:rPr>
        <w:t>2、乙方履约延误</w:t>
      </w:r>
    </w:p>
    <w:p w14:paraId="3179240A">
      <w:pPr>
        <w:spacing w:line="480" w:lineRule="auto"/>
        <w:ind w:firstLine="480"/>
        <w:rPr>
          <w:rFonts w:ascii="仿宋" w:hAnsi="仿宋" w:eastAsia="仿宋"/>
          <w:sz w:val="24"/>
        </w:rPr>
      </w:pPr>
      <w:r>
        <w:rPr>
          <w:rFonts w:hint="eastAsia" w:ascii="仿宋" w:hAnsi="仿宋" w:eastAsia="仿宋"/>
          <w:sz w:val="24"/>
        </w:rPr>
        <w:t>1、按《中华人民共和国民法典》以及相关法律的条款执行。</w:t>
      </w:r>
    </w:p>
    <w:p w14:paraId="6BC9D345">
      <w:pPr>
        <w:spacing w:line="480" w:lineRule="auto"/>
        <w:ind w:firstLine="480"/>
        <w:rPr>
          <w:rFonts w:ascii="仿宋" w:hAnsi="仿宋" w:eastAsia="仿宋"/>
          <w:sz w:val="24"/>
        </w:rPr>
      </w:pPr>
      <w:r>
        <w:rPr>
          <w:rFonts w:hint="eastAsia" w:ascii="仿宋" w:hAnsi="仿宋" w:eastAsia="仿宋"/>
          <w:sz w:val="24"/>
        </w:rPr>
        <w:t>2、乙方履约延误</w:t>
      </w:r>
    </w:p>
    <w:p w14:paraId="3D504B12">
      <w:pPr>
        <w:spacing w:line="480" w:lineRule="auto"/>
        <w:ind w:firstLine="480"/>
        <w:rPr>
          <w:rFonts w:ascii="仿宋" w:hAnsi="仿宋" w:eastAsia="仿宋"/>
          <w:sz w:val="24"/>
        </w:rPr>
      </w:pPr>
      <w:r>
        <w:rPr>
          <w:rFonts w:hint="eastAsia" w:ascii="仿宋" w:hAnsi="仿宋" w:eastAsia="仿宋"/>
          <w:sz w:val="24"/>
        </w:rPr>
        <w:t>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w:t>
      </w:r>
    </w:p>
    <w:p w14:paraId="4DDD740A">
      <w:pPr>
        <w:spacing w:line="480" w:lineRule="auto"/>
        <w:ind w:firstLine="480"/>
        <w:rPr>
          <w:rFonts w:ascii="仿宋" w:hAnsi="仿宋" w:eastAsia="仿宋"/>
          <w:sz w:val="24"/>
        </w:rPr>
      </w:pPr>
      <w:r>
        <w:rPr>
          <w:rFonts w:hint="eastAsia" w:ascii="仿宋" w:hAnsi="仿宋" w:eastAsia="仿宋"/>
          <w:sz w:val="24"/>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A685492">
      <w:pPr>
        <w:pStyle w:val="3"/>
        <w:rPr>
          <w:rFonts w:ascii="仿宋" w:hAnsi="仿宋" w:eastAsia="仿宋"/>
        </w:rPr>
      </w:pPr>
      <w:r>
        <w:rPr>
          <w:rFonts w:hint="eastAsia" w:ascii="仿宋" w:hAnsi="仿宋" w:eastAsia="仿宋"/>
        </w:rPr>
        <w:t xml:space="preserve">    3、乙方提供产品数量不足或有质量等问题，乙方应在2日内，按照甲方的要求，采取补足、更换或退货等处理措施，并承担由此发生的一切损失和费用，并依法追究法律责任。</w:t>
      </w:r>
    </w:p>
    <w:p w14:paraId="34D2019B">
      <w:pPr>
        <w:spacing w:line="360" w:lineRule="auto"/>
        <w:ind w:firstLine="480" w:firstLineChars="200"/>
        <w:rPr>
          <w:rFonts w:ascii="仿宋" w:hAnsi="仿宋" w:eastAsia="仿宋"/>
          <w:sz w:val="24"/>
        </w:rPr>
      </w:pPr>
      <w:r>
        <w:rPr>
          <w:rFonts w:hint="eastAsia" w:ascii="仿宋" w:hAnsi="仿宋" w:eastAsia="仿宋"/>
          <w:sz w:val="24"/>
        </w:rPr>
        <w:t>4、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14:paraId="4FEE0FAE">
      <w:pPr>
        <w:snapToGrid w:val="0"/>
        <w:spacing w:line="360" w:lineRule="auto"/>
        <w:ind w:firstLine="480" w:firstLineChars="200"/>
        <w:rPr>
          <w:rFonts w:ascii="仿宋" w:hAnsi="仿宋" w:eastAsia="仿宋"/>
          <w:sz w:val="24"/>
        </w:rPr>
      </w:pPr>
      <w:r>
        <w:rPr>
          <w:rFonts w:hint="eastAsia" w:ascii="仿宋" w:hAnsi="仿宋" w:eastAsia="仿宋"/>
          <w:sz w:val="24"/>
        </w:rPr>
        <w:t xml:space="preserve"> 5、本合同履行过程中，如因乙方违约，甲方提起诉讼的，乙方应当承担甲方为实现权利而产生的费用，包括但不限于诉讼费、律师费、鉴定费、评估费等费用。</w:t>
      </w:r>
    </w:p>
    <w:p w14:paraId="5A27C195">
      <w:pPr>
        <w:snapToGrid w:val="0"/>
        <w:spacing w:line="360" w:lineRule="auto"/>
        <w:ind w:firstLine="480" w:firstLineChars="200"/>
        <w:rPr>
          <w:rFonts w:ascii="仿宋" w:hAnsi="仿宋" w:eastAsia="仿宋"/>
          <w:sz w:val="24"/>
        </w:rPr>
      </w:pPr>
      <w:bookmarkStart w:id="7" w:name="_Toc19515393"/>
      <w:bookmarkEnd w:id="7"/>
      <w:r>
        <w:rPr>
          <w:rFonts w:hint="eastAsia" w:ascii="仿宋" w:hAnsi="仿宋" w:eastAsia="仿宋"/>
          <w:sz w:val="24"/>
        </w:rPr>
        <w:t>八、合同组成</w:t>
      </w:r>
    </w:p>
    <w:p w14:paraId="7635D786">
      <w:pPr>
        <w:snapToGrid w:val="0"/>
        <w:spacing w:line="360" w:lineRule="auto"/>
        <w:ind w:firstLine="480" w:firstLineChars="200"/>
        <w:rPr>
          <w:rFonts w:ascii="仿宋" w:hAnsi="仿宋" w:eastAsia="仿宋"/>
          <w:sz w:val="24"/>
        </w:rPr>
      </w:pPr>
      <w:r>
        <w:rPr>
          <w:rFonts w:hint="eastAsia" w:ascii="仿宋" w:hAnsi="仿宋" w:eastAsia="仿宋"/>
          <w:sz w:val="24"/>
        </w:rPr>
        <w:t>1、中标通知书</w:t>
      </w:r>
    </w:p>
    <w:p w14:paraId="79CE8025">
      <w:pPr>
        <w:snapToGrid w:val="0"/>
        <w:spacing w:line="360" w:lineRule="auto"/>
        <w:ind w:firstLine="480" w:firstLineChars="200"/>
        <w:rPr>
          <w:rFonts w:ascii="仿宋" w:hAnsi="仿宋" w:eastAsia="仿宋"/>
          <w:sz w:val="24"/>
        </w:rPr>
      </w:pPr>
      <w:r>
        <w:rPr>
          <w:rFonts w:hint="eastAsia" w:ascii="仿宋" w:hAnsi="仿宋" w:eastAsia="仿宋"/>
          <w:sz w:val="24"/>
        </w:rPr>
        <w:t>2、合同文件</w:t>
      </w:r>
    </w:p>
    <w:p w14:paraId="64C42A44">
      <w:pPr>
        <w:snapToGrid w:val="0"/>
        <w:spacing w:line="360" w:lineRule="auto"/>
        <w:ind w:firstLine="480" w:firstLineChars="200"/>
        <w:rPr>
          <w:rFonts w:ascii="仿宋" w:hAnsi="仿宋" w:eastAsia="仿宋"/>
          <w:sz w:val="24"/>
        </w:rPr>
      </w:pPr>
      <w:r>
        <w:rPr>
          <w:rFonts w:hint="eastAsia" w:ascii="仿宋" w:hAnsi="仿宋" w:eastAsia="仿宋"/>
          <w:sz w:val="24"/>
        </w:rPr>
        <w:t>3、国家相关规范及标准</w:t>
      </w:r>
    </w:p>
    <w:p w14:paraId="7670254B">
      <w:pPr>
        <w:snapToGrid w:val="0"/>
        <w:spacing w:line="360" w:lineRule="auto"/>
        <w:ind w:firstLine="480" w:firstLineChars="200"/>
        <w:rPr>
          <w:rFonts w:ascii="仿宋" w:hAnsi="仿宋" w:eastAsia="仿宋"/>
          <w:sz w:val="24"/>
        </w:rPr>
      </w:pPr>
      <w:r>
        <w:rPr>
          <w:rFonts w:hint="eastAsia" w:ascii="仿宋" w:hAnsi="仿宋" w:eastAsia="仿宋"/>
          <w:sz w:val="24"/>
        </w:rPr>
        <w:t>4、招标文件</w:t>
      </w:r>
    </w:p>
    <w:p w14:paraId="322640DA">
      <w:pPr>
        <w:snapToGrid w:val="0"/>
        <w:spacing w:line="360" w:lineRule="auto"/>
        <w:ind w:firstLine="480" w:firstLineChars="200"/>
        <w:rPr>
          <w:rFonts w:ascii="仿宋" w:hAnsi="仿宋" w:eastAsia="仿宋"/>
          <w:sz w:val="24"/>
        </w:rPr>
      </w:pPr>
      <w:r>
        <w:rPr>
          <w:rFonts w:hint="eastAsia" w:ascii="仿宋" w:hAnsi="仿宋" w:eastAsia="仿宋"/>
          <w:sz w:val="24"/>
        </w:rPr>
        <w:t>5、投标文件</w:t>
      </w:r>
    </w:p>
    <w:p w14:paraId="681880DB">
      <w:pPr>
        <w:snapToGrid w:val="0"/>
        <w:spacing w:line="360" w:lineRule="auto"/>
        <w:ind w:firstLine="480" w:firstLineChars="200"/>
        <w:rPr>
          <w:rFonts w:ascii="仿宋" w:hAnsi="仿宋" w:eastAsia="仿宋"/>
          <w:sz w:val="24"/>
        </w:rPr>
      </w:pPr>
      <w:bookmarkStart w:id="8" w:name="_Toc19515394"/>
      <w:bookmarkEnd w:id="8"/>
      <w:r>
        <w:rPr>
          <w:rFonts w:hint="eastAsia" w:ascii="仿宋" w:hAnsi="仿宋" w:eastAsia="仿宋"/>
          <w:sz w:val="24"/>
        </w:rPr>
        <w:t>九、解决争议的方法</w:t>
      </w:r>
    </w:p>
    <w:p w14:paraId="23B612DE">
      <w:pPr>
        <w:autoSpaceDE w:val="0"/>
        <w:autoSpaceDN w:val="0"/>
        <w:snapToGrid w:val="0"/>
        <w:spacing w:line="360" w:lineRule="auto"/>
        <w:ind w:right="-110" w:firstLine="480" w:firstLineChars="200"/>
        <w:rPr>
          <w:rFonts w:ascii="仿宋" w:hAnsi="仿宋" w:eastAsia="仿宋"/>
          <w:kern w:val="0"/>
          <w:sz w:val="24"/>
        </w:rPr>
      </w:pPr>
      <w:r>
        <w:rPr>
          <w:rFonts w:hint="eastAsia" w:ascii="仿宋" w:hAnsi="仿宋" w:eastAsia="仿宋"/>
          <w:kern w:val="0"/>
          <w:sz w:val="24"/>
        </w:rPr>
        <w:t>凡因本合同引起的或与本合同有关的争议，双方应友好协商解决。协商不成时，双方均同意采用以下第（  ）种争议解决方式：</w:t>
      </w:r>
    </w:p>
    <w:p w14:paraId="202E59A2">
      <w:pPr>
        <w:autoSpaceDE w:val="0"/>
        <w:autoSpaceDN w:val="0"/>
        <w:snapToGrid w:val="0"/>
        <w:spacing w:line="360" w:lineRule="auto"/>
        <w:ind w:right="-110" w:firstLine="480" w:firstLineChars="200"/>
        <w:rPr>
          <w:rFonts w:ascii="仿宋" w:hAnsi="仿宋" w:eastAsia="仿宋"/>
          <w:kern w:val="0"/>
          <w:sz w:val="24"/>
        </w:rPr>
      </w:pPr>
      <w:r>
        <w:rPr>
          <w:rFonts w:hint="eastAsia" w:ascii="仿宋" w:hAnsi="仿宋" w:eastAsia="仿宋"/>
          <w:kern w:val="0"/>
          <w:sz w:val="24"/>
        </w:rPr>
        <w:t>（1）、甲、乙双方均同意向（甲方所在地人民法院）提起诉讼。</w:t>
      </w:r>
    </w:p>
    <w:p w14:paraId="438407AF">
      <w:pPr>
        <w:autoSpaceDE w:val="0"/>
        <w:autoSpaceDN w:val="0"/>
        <w:snapToGrid w:val="0"/>
        <w:spacing w:line="360" w:lineRule="auto"/>
        <w:ind w:right="-110" w:firstLine="480" w:firstLineChars="200"/>
        <w:rPr>
          <w:rFonts w:ascii="仿宋" w:hAnsi="仿宋" w:eastAsia="仿宋"/>
          <w:kern w:val="0"/>
          <w:sz w:val="24"/>
        </w:rPr>
      </w:pPr>
      <w:r>
        <w:rPr>
          <w:rFonts w:hint="eastAsia" w:ascii="仿宋" w:hAnsi="仿宋" w:eastAsia="仿宋"/>
          <w:kern w:val="0"/>
          <w:sz w:val="24"/>
        </w:rPr>
        <w:t>（2）、甲、乙双方均同意向（</w:t>
      </w:r>
      <w:r>
        <w:fldChar w:fldCharType="begin"/>
      </w:r>
      <w:r>
        <w:instrText xml:space="preserve"> HYPERLINK "http://www.baidu.com/s?wd=%E4%BB%B2%E8%A3%81%E5%A7%94%E5%91%98%E4%BC%9A&amp;amp;tn=SE_PcZhidaonwhc_ngpagmjz&amp;amp;rsv_dl=gh_pc_zhidao" \t "_blank" </w:instrText>
      </w:r>
      <w:r>
        <w:fldChar w:fldCharType="separate"/>
      </w:r>
      <w:r>
        <w:rPr>
          <w:rFonts w:hint="eastAsia" w:ascii="仿宋" w:hAnsi="仿宋" w:eastAsia="仿宋"/>
          <w:kern w:val="0"/>
          <w:sz w:val="24"/>
        </w:rPr>
        <w:t>仲裁委员会</w:t>
      </w:r>
      <w:r>
        <w:rPr>
          <w:rFonts w:hint="eastAsia" w:ascii="仿宋" w:hAnsi="仿宋" w:eastAsia="仿宋"/>
          <w:kern w:val="0"/>
          <w:sz w:val="24"/>
        </w:rPr>
        <w:fldChar w:fldCharType="end"/>
      </w:r>
      <w:r>
        <w:rPr>
          <w:rFonts w:hint="eastAsia" w:ascii="仿宋" w:hAnsi="仿宋" w:eastAsia="仿宋"/>
          <w:kern w:val="0"/>
          <w:sz w:val="24"/>
        </w:rPr>
        <w:t>）提起仲裁。</w:t>
      </w:r>
    </w:p>
    <w:p w14:paraId="3F365871">
      <w:pPr>
        <w:snapToGrid w:val="0"/>
        <w:spacing w:line="360" w:lineRule="auto"/>
        <w:ind w:firstLine="480" w:firstLineChars="200"/>
        <w:rPr>
          <w:rFonts w:ascii="仿宋" w:hAnsi="仿宋" w:eastAsia="仿宋"/>
          <w:sz w:val="24"/>
        </w:rPr>
      </w:pPr>
      <w:bookmarkStart w:id="9" w:name="_Toc19515395"/>
      <w:bookmarkEnd w:id="9"/>
      <w:r>
        <w:rPr>
          <w:rFonts w:hint="eastAsia" w:ascii="仿宋" w:hAnsi="仿宋" w:eastAsia="仿宋"/>
          <w:sz w:val="24"/>
        </w:rPr>
        <w:t>十、合同生效及其它</w:t>
      </w:r>
    </w:p>
    <w:p w14:paraId="7028276C">
      <w:pPr>
        <w:autoSpaceDE w:val="0"/>
        <w:autoSpaceDN w:val="0"/>
        <w:snapToGrid w:val="0"/>
        <w:spacing w:line="360" w:lineRule="auto"/>
        <w:ind w:right="-110" w:firstLine="480" w:firstLineChars="200"/>
        <w:rPr>
          <w:rFonts w:ascii="仿宋" w:hAnsi="仿宋" w:eastAsia="仿宋"/>
          <w:kern w:val="0"/>
          <w:sz w:val="24"/>
        </w:rPr>
      </w:pPr>
      <w:r>
        <w:rPr>
          <w:rFonts w:hint="eastAsia" w:ascii="仿宋" w:hAnsi="仿宋" w:eastAsia="仿宋"/>
          <w:kern w:val="0"/>
          <w:sz w:val="24"/>
        </w:rPr>
        <w:t>1、合同未尽事宜、由甲、乙双方协商，作为合同补充，与原合同具有同等法律效力。</w:t>
      </w:r>
    </w:p>
    <w:p w14:paraId="34F2EA61">
      <w:pPr>
        <w:tabs>
          <w:tab w:val="left" w:pos="8391"/>
        </w:tabs>
        <w:autoSpaceDE w:val="0"/>
        <w:autoSpaceDN w:val="0"/>
        <w:snapToGrid w:val="0"/>
        <w:spacing w:line="360" w:lineRule="auto"/>
        <w:ind w:right="-69" w:firstLine="480" w:firstLineChars="200"/>
        <w:rPr>
          <w:rFonts w:ascii="仿宋" w:hAnsi="仿宋" w:eastAsia="仿宋"/>
          <w:kern w:val="0"/>
          <w:sz w:val="24"/>
        </w:rPr>
      </w:pPr>
      <w:r>
        <w:rPr>
          <w:rFonts w:hint="eastAsia" w:ascii="仿宋" w:hAnsi="仿宋" w:eastAsia="仿宋"/>
          <w:kern w:val="0"/>
          <w:sz w:val="24"/>
        </w:rPr>
        <w:t>2、  本合同正本一式</w:t>
      </w:r>
      <w:r>
        <w:rPr>
          <w:rFonts w:hint="eastAsia" w:ascii="仿宋" w:hAnsi="仿宋" w:eastAsia="仿宋"/>
          <w:kern w:val="0"/>
          <w:sz w:val="24"/>
          <w:u w:val="single"/>
        </w:rPr>
        <w:t xml:space="preserve"> 捌</w:t>
      </w:r>
      <w:r>
        <w:rPr>
          <w:rFonts w:hint="eastAsia" w:ascii="仿宋" w:hAnsi="仿宋" w:eastAsia="仿宋"/>
          <w:kern w:val="0"/>
          <w:sz w:val="24"/>
        </w:rPr>
        <w:t xml:space="preserve"> 份，甲方执 </w:t>
      </w:r>
      <w:r>
        <w:rPr>
          <w:rFonts w:hint="eastAsia" w:ascii="仿宋" w:hAnsi="仿宋" w:eastAsia="仿宋"/>
          <w:kern w:val="0"/>
          <w:sz w:val="24"/>
          <w:u w:val="single"/>
        </w:rPr>
        <w:t xml:space="preserve">伍 </w:t>
      </w:r>
      <w:r>
        <w:rPr>
          <w:rFonts w:hint="eastAsia" w:ascii="仿宋" w:hAnsi="仿宋" w:eastAsia="仿宋"/>
          <w:kern w:val="0"/>
          <w:sz w:val="24"/>
        </w:rPr>
        <w:t>份、乙方执</w:t>
      </w:r>
      <w:r>
        <w:rPr>
          <w:rFonts w:hint="eastAsia" w:ascii="仿宋" w:hAnsi="仿宋" w:eastAsia="仿宋"/>
          <w:kern w:val="0"/>
          <w:sz w:val="24"/>
          <w:u w:val="single"/>
        </w:rPr>
        <w:t xml:space="preserve"> 贰</w:t>
      </w:r>
      <w:r>
        <w:rPr>
          <w:rFonts w:hint="eastAsia" w:ascii="仿宋" w:hAnsi="仿宋" w:eastAsia="仿宋"/>
          <w:kern w:val="0"/>
          <w:sz w:val="24"/>
        </w:rPr>
        <w:t xml:space="preserve"> 份， 财政局备案 </w:t>
      </w:r>
      <w:r>
        <w:rPr>
          <w:rFonts w:hint="eastAsia" w:ascii="仿宋" w:hAnsi="仿宋" w:eastAsia="仿宋"/>
          <w:kern w:val="0"/>
          <w:sz w:val="24"/>
          <w:u w:val="single"/>
        </w:rPr>
        <w:t>壹</w:t>
      </w:r>
      <w:r>
        <w:rPr>
          <w:rFonts w:hint="eastAsia" w:ascii="仿宋" w:hAnsi="仿宋" w:eastAsia="仿宋"/>
          <w:kern w:val="0"/>
          <w:sz w:val="24"/>
        </w:rPr>
        <w:t xml:space="preserve"> 份。</w:t>
      </w:r>
    </w:p>
    <w:p w14:paraId="2189FC30">
      <w:pPr>
        <w:tabs>
          <w:tab w:val="left" w:pos="8391"/>
        </w:tabs>
        <w:autoSpaceDE w:val="0"/>
        <w:autoSpaceDN w:val="0"/>
        <w:snapToGrid w:val="0"/>
        <w:spacing w:line="360" w:lineRule="auto"/>
        <w:ind w:right="-69" w:firstLine="480" w:firstLineChars="200"/>
        <w:rPr>
          <w:rFonts w:ascii="仿宋" w:hAnsi="仿宋" w:eastAsia="仿宋"/>
          <w:kern w:val="0"/>
          <w:sz w:val="24"/>
        </w:rPr>
      </w:pPr>
      <w:r>
        <w:rPr>
          <w:rFonts w:hint="eastAsia" w:ascii="仿宋" w:hAnsi="仿宋" w:eastAsia="仿宋"/>
          <w:kern w:val="0"/>
          <w:sz w:val="24"/>
        </w:rPr>
        <w:t>3、合同经甲乙双方盖章、签字后生效，合同签订地点为</w:t>
      </w:r>
      <w:r>
        <w:rPr>
          <w:rFonts w:hint="eastAsia" w:ascii="仿宋" w:hAnsi="仿宋" w:eastAsia="仿宋"/>
          <w:kern w:val="0"/>
          <w:sz w:val="24"/>
          <w:u w:val="single"/>
        </w:rPr>
        <w:t xml:space="preserve">   </w:t>
      </w:r>
      <w:r>
        <w:rPr>
          <w:rFonts w:hint="eastAsia" w:ascii="仿宋" w:hAnsi="仿宋" w:eastAsia="仿宋"/>
          <w:kern w:val="0"/>
          <w:sz w:val="24"/>
        </w:rPr>
        <w:t>。</w:t>
      </w:r>
    </w:p>
    <w:p w14:paraId="0D12AFE5">
      <w:pPr>
        <w:tabs>
          <w:tab w:val="left" w:pos="8391"/>
        </w:tabs>
        <w:autoSpaceDE w:val="0"/>
        <w:autoSpaceDN w:val="0"/>
        <w:snapToGrid w:val="0"/>
        <w:spacing w:line="360" w:lineRule="auto"/>
        <w:ind w:right="-69" w:firstLine="480" w:firstLineChars="200"/>
        <w:rPr>
          <w:rFonts w:ascii="仿宋" w:hAnsi="仿宋" w:eastAsia="仿宋"/>
          <w:kern w:val="0"/>
          <w:sz w:val="24"/>
        </w:rPr>
      </w:pPr>
      <w:r>
        <w:rPr>
          <w:rFonts w:hint="eastAsia" w:ascii="仿宋" w:hAnsi="仿宋" w:eastAsia="仿宋"/>
          <w:kern w:val="0"/>
          <w:sz w:val="24"/>
        </w:rPr>
        <w:t>4、生效时间：</w:t>
      </w:r>
      <w:r>
        <w:rPr>
          <w:rFonts w:hint="eastAsia" w:ascii="仿宋" w:hAnsi="仿宋" w:eastAsia="仿宋"/>
          <w:kern w:val="0"/>
          <w:sz w:val="24"/>
          <w:u w:val="single"/>
        </w:rPr>
        <w:t xml:space="preserve">   </w:t>
      </w:r>
      <w:r>
        <w:rPr>
          <w:rFonts w:hint="eastAsia" w:ascii="仿宋" w:hAnsi="仿宋" w:eastAsia="仿宋"/>
          <w:kern w:val="0"/>
          <w:sz w:val="24"/>
        </w:rPr>
        <w:t>年</w:t>
      </w:r>
      <w:r>
        <w:rPr>
          <w:rFonts w:hint="eastAsia" w:ascii="仿宋" w:hAnsi="仿宋" w:eastAsia="仿宋"/>
          <w:kern w:val="0"/>
          <w:sz w:val="24"/>
          <w:u w:val="single"/>
        </w:rPr>
        <w:t xml:space="preserve">  </w:t>
      </w:r>
      <w:r>
        <w:rPr>
          <w:rFonts w:hint="eastAsia" w:ascii="仿宋" w:hAnsi="仿宋" w:eastAsia="仿宋"/>
          <w:kern w:val="0"/>
          <w:sz w:val="24"/>
        </w:rPr>
        <w:t>月</w:t>
      </w:r>
      <w:r>
        <w:rPr>
          <w:rFonts w:hint="eastAsia" w:ascii="仿宋" w:hAnsi="仿宋" w:eastAsia="仿宋"/>
          <w:kern w:val="0"/>
          <w:sz w:val="24"/>
          <w:u w:val="single"/>
        </w:rPr>
        <w:t xml:space="preserve">  </w:t>
      </w:r>
      <w:r>
        <w:rPr>
          <w:rFonts w:hint="eastAsia" w:ascii="仿宋" w:hAnsi="仿宋" w:eastAsia="仿宋"/>
          <w:kern w:val="0"/>
          <w:sz w:val="24"/>
        </w:rPr>
        <w:t>日</w:t>
      </w:r>
    </w:p>
    <w:p w14:paraId="0ADFC53F">
      <w:pPr>
        <w:tabs>
          <w:tab w:val="left" w:pos="8391"/>
        </w:tabs>
        <w:autoSpaceDE w:val="0"/>
        <w:autoSpaceDN w:val="0"/>
        <w:snapToGrid w:val="0"/>
        <w:spacing w:line="360" w:lineRule="auto"/>
        <w:ind w:right="-69"/>
        <w:rPr>
          <w:rFonts w:hint="default" w:ascii="仿宋" w:hAnsi="仿宋" w:eastAsia="仿宋"/>
          <w:kern w:val="0"/>
          <w:sz w:val="24"/>
          <w:lang w:val="en-US" w:eastAsia="zh-CN"/>
        </w:rPr>
      </w:pPr>
    </w:p>
    <w:tbl>
      <w:tblPr>
        <w:tblStyle w:val="5"/>
        <w:tblW w:w="0" w:type="auto"/>
        <w:jc w:val="center"/>
        <w:tblLayout w:type="fixed"/>
        <w:tblCellMar>
          <w:top w:w="0" w:type="dxa"/>
          <w:left w:w="108" w:type="dxa"/>
          <w:bottom w:w="0" w:type="dxa"/>
          <w:right w:w="108" w:type="dxa"/>
        </w:tblCellMar>
      </w:tblPr>
      <w:tblGrid>
        <w:gridCol w:w="4643"/>
        <w:gridCol w:w="4643"/>
      </w:tblGrid>
      <w:tr w14:paraId="7D20E8B1">
        <w:trPr>
          <w:jc w:val="center"/>
        </w:trPr>
        <w:tc>
          <w:tcPr>
            <w:tcW w:w="4643" w:type="dxa"/>
          </w:tcPr>
          <w:p w14:paraId="782E4A5F">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甲方名称</w:t>
            </w:r>
            <w:r>
              <w:rPr>
                <w:rFonts w:hint="eastAsia" w:ascii="仿宋" w:hAnsi="仿宋" w:eastAsia="仿宋"/>
                <w:spacing w:val="-20"/>
                <w:kern w:val="0"/>
                <w:sz w:val="24"/>
              </w:rPr>
              <w:t>（盖章）</w:t>
            </w:r>
            <w:r>
              <w:rPr>
                <w:rFonts w:hint="eastAsia" w:ascii="仿宋" w:hAnsi="仿宋" w:eastAsia="仿宋"/>
                <w:kern w:val="0"/>
                <w:sz w:val="24"/>
              </w:rPr>
              <w:t>:</w:t>
            </w:r>
          </w:p>
          <w:p w14:paraId="646106F8">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地址：</w:t>
            </w:r>
          </w:p>
          <w:p w14:paraId="2A9982B1">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代表人（签字）：</w:t>
            </w:r>
          </w:p>
          <w:p w14:paraId="3B49F9D4">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电话：</w:t>
            </w:r>
          </w:p>
          <w:p w14:paraId="55811752">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开户银行：</w:t>
            </w:r>
          </w:p>
          <w:p w14:paraId="007F0E0D">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账号：</w:t>
            </w:r>
          </w:p>
        </w:tc>
        <w:tc>
          <w:tcPr>
            <w:tcW w:w="4643" w:type="dxa"/>
          </w:tcPr>
          <w:p w14:paraId="5D8C523E">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乙方名称</w:t>
            </w:r>
            <w:r>
              <w:rPr>
                <w:rFonts w:hint="eastAsia" w:ascii="仿宋" w:hAnsi="仿宋" w:eastAsia="仿宋"/>
                <w:spacing w:val="-20"/>
                <w:kern w:val="0"/>
                <w:sz w:val="24"/>
              </w:rPr>
              <w:t>（盖章）</w:t>
            </w:r>
            <w:r>
              <w:rPr>
                <w:rFonts w:hint="eastAsia" w:ascii="仿宋" w:hAnsi="仿宋" w:eastAsia="仿宋"/>
                <w:kern w:val="0"/>
                <w:sz w:val="24"/>
              </w:rPr>
              <w:t>:</w:t>
            </w:r>
          </w:p>
          <w:p w14:paraId="46638A25">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地址：</w:t>
            </w:r>
          </w:p>
          <w:p w14:paraId="09532C69">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代表人（签字）：</w:t>
            </w:r>
          </w:p>
          <w:p w14:paraId="707CAD7E">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电话：</w:t>
            </w:r>
          </w:p>
          <w:p w14:paraId="4DF6DA04">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开户银行：</w:t>
            </w:r>
          </w:p>
          <w:p w14:paraId="7EDF8AC9">
            <w:pPr>
              <w:autoSpaceDE w:val="0"/>
              <w:autoSpaceDN w:val="0"/>
              <w:snapToGrid w:val="0"/>
              <w:spacing w:line="360" w:lineRule="auto"/>
              <w:ind w:right="-154"/>
              <w:rPr>
                <w:rFonts w:ascii="仿宋" w:hAnsi="仿宋" w:eastAsia="仿宋"/>
                <w:kern w:val="0"/>
                <w:sz w:val="24"/>
              </w:rPr>
            </w:pPr>
            <w:r>
              <w:rPr>
                <w:rFonts w:hint="eastAsia" w:ascii="仿宋" w:hAnsi="仿宋" w:eastAsia="仿宋"/>
                <w:kern w:val="0"/>
                <w:sz w:val="24"/>
              </w:rPr>
              <w:t>账号：</w:t>
            </w:r>
          </w:p>
        </w:tc>
      </w:tr>
    </w:tbl>
    <w:p w14:paraId="47E45385">
      <w:pPr>
        <w:spacing w:line="360" w:lineRule="auto"/>
        <w:rPr>
          <w:rFonts w:hint="eastAsia" w:ascii="仿宋" w:hAnsi="仿宋" w:eastAsia="仿宋"/>
          <w:kern w:val="0"/>
          <w:sz w:val="24"/>
          <w:lang w:val="en-US" w:eastAsia="zh-CN"/>
        </w:rPr>
      </w:pPr>
    </w:p>
    <w:p w14:paraId="46AF77EE">
      <w:pPr>
        <w:spacing w:line="360" w:lineRule="auto"/>
        <w:rPr>
          <w:rFonts w:ascii="仿宋" w:hAnsi="仿宋" w:eastAsia="仿宋"/>
        </w:rPr>
      </w:pPr>
      <w:r>
        <w:rPr>
          <w:rFonts w:hint="eastAsia" w:ascii="仿宋" w:hAnsi="仿宋" w:eastAsia="仿宋"/>
          <w:kern w:val="0"/>
          <w:sz w:val="24"/>
          <w:lang w:val="en-US" w:eastAsia="zh-CN"/>
        </w:rPr>
        <w:t xml:space="preserve"> 注：合同以双方实际签订内容为准。</w:t>
      </w:r>
      <w:r>
        <w:rPr>
          <w:rFonts w:ascii="仿宋" w:hAnsi="仿宋" w:eastAsia="仿宋"/>
        </w:rPr>
        <w:br w:type="page"/>
      </w:r>
      <w:r>
        <w:rPr>
          <w:rFonts w:ascii="仿宋" w:hAnsi="仿宋" w:eastAsia="仿宋"/>
          <w:sz w:val="24"/>
        </w:rPr>
        <w:t>合同附件：</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17CAEB86">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6F66B84F">
            <w:pPr>
              <w:jc w:val="center"/>
              <w:rPr>
                <w:rFonts w:ascii="仿宋" w:hAnsi="仿宋" w:eastAsia="仿宋"/>
                <w:kern w:val="0"/>
                <w:sz w:val="28"/>
                <w:szCs w:val="28"/>
              </w:rPr>
            </w:pPr>
            <w:r>
              <w:rPr>
                <w:rFonts w:ascii="仿宋" w:hAnsi="仿宋" w:eastAsia="仿宋"/>
                <w:kern w:val="0"/>
                <w:sz w:val="28"/>
                <w:szCs w:val="28"/>
              </w:rPr>
              <w:t>政府采购项目货物（服务）验收入库报告单</w:t>
            </w:r>
          </w:p>
        </w:tc>
      </w:tr>
      <w:tr w14:paraId="346414FA">
        <w:tblPrEx>
          <w:tblCellMar>
            <w:top w:w="0" w:type="dxa"/>
            <w:left w:w="108" w:type="dxa"/>
            <w:bottom w:w="0" w:type="dxa"/>
            <w:right w:w="108" w:type="dxa"/>
          </w:tblCellMar>
        </w:tblPrEx>
        <w:trPr>
          <w:trHeight w:val="540" w:hRule="atLeast"/>
        </w:trPr>
        <w:tc>
          <w:tcPr>
            <w:tcW w:w="922" w:type="pct"/>
            <w:tcBorders>
              <w:top w:val="single" w:color="000000" w:sz="8" w:space="0"/>
              <w:left w:val="single" w:color="000000" w:sz="8" w:space="0"/>
              <w:bottom w:val="single" w:color="000000" w:sz="4" w:space="0"/>
              <w:right w:val="single" w:color="000000" w:sz="4" w:space="0"/>
            </w:tcBorders>
            <w:noWrap/>
            <w:vAlign w:val="center"/>
          </w:tcPr>
          <w:p w14:paraId="66314DD7">
            <w:pPr>
              <w:jc w:val="center"/>
              <w:rPr>
                <w:rFonts w:ascii="仿宋" w:hAnsi="仿宋" w:eastAsia="仿宋"/>
                <w:kern w:val="0"/>
                <w:sz w:val="24"/>
              </w:rPr>
            </w:pPr>
            <w:r>
              <w:rPr>
                <w:rFonts w:ascii="仿宋" w:hAnsi="仿宋" w:eastAsia="仿宋"/>
                <w:kern w:val="0"/>
                <w:sz w:val="24"/>
              </w:rPr>
              <w:t>采购单位</w:t>
            </w:r>
          </w:p>
        </w:tc>
        <w:tc>
          <w:tcPr>
            <w:tcW w:w="4078" w:type="pct"/>
            <w:gridSpan w:val="3"/>
            <w:tcBorders>
              <w:top w:val="single" w:color="000000" w:sz="8" w:space="0"/>
              <w:left w:val="nil"/>
              <w:bottom w:val="single" w:color="000000" w:sz="4" w:space="0"/>
              <w:right w:val="single" w:color="000000" w:sz="8" w:space="0"/>
            </w:tcBorders>
            <w:noWrap/>
            <w:vAlign w:val="center"/>
          </w:tcPr>
          <w:p w14:paraId="1204A1D4">
            <w:pPr>
              <w:jc w:val="center"/>
              <w:rPr>
                <w:rFonts w:ascii="仿宋" w:hAnsi="仿宋" w:eastAsia="仿宋"/>
                <w:kern w:val="0"/>
                <w:sz w:val="24"/>
              </w:rPr>
            </w:pPr>
            <w:r>
              <w:rPr>
                <w:rFonts w:ascii="仿宋" w:hAnsi="仿宋" w:eastAsia="仿宋"/>
                <w:kern w:val="0"/>
                <w:sz w:val="24"/>
              </w:rPr>
              <w:t>　</w:t>
            </w:r>
          </w:p>
        </w:tc>
      </w:tr>
      <w:tr w14:paraId="357CB979">
        <w:tblPrEx>
          <w:tblCellMar>
            <w:top w:w="0" w:type="dxa"/>
            <w:left w:w="108" w:type="dxa"/>
            <w:bottom w:w="0" w:type="dxa"/>
            <w:right w:w="108" w:type="dxa"/>
          </w:tblCellMar>
        </w:tblPrEx>
        <w:trPr>
          <w:trHeight w:val="540" w:hRule="atLeast"/>
        </w:trPr>
        <w:tc>
          <w:tcPr>
            <w:tcW w:w="922" w:type="pct"/>
            <w:tcBorders>
              <w:top w:val="nil"/>
              <w:left w:val="single" w:color="000000" w:sz="8" w:space="0"/>
              <w:bottom w:val="single" w:color="000000" w:sz="4" w:space="0"/>
              <w:right w:val="single" w:color="000000" w:sz="4" w:space="0"/>
            </w:tcBorders>
            <w:noWrap/>
            <w:vAlign w:val="center"/>
          </w:tcPr>
          <w:p w14:paraId="72A9C9EB">
            <w:pPr>
              <w:jc w:val="center"/>
              <w:rPr>
                <w:rFonts w:ascii="仿宋" w:hAnsi="仿宋" w:eastAsia="仿宋"/>
                <w:kern w:val="0"/>
                <w:sz w:val="24"/>
              </w:rPr>
            </w:pPr>
            <w:r>
              <w:rPr>
                <w:rFonts w:ascii="仿宋" w:hAnsi="仿宋" w:eastAsia="仿宋"/>
                <w:kern w:val="0"/>
                <w:sz w:val="24"/>
              </w:rPr>
              <w:t>采购项目</w:t>
            </w:r>
          </w:p>
        </w:tc>
        <w:tc>
          <w:tcPr>
            <w:tcW w:w="4078" w:type="pct"/>
            <w:gridSpan w:val="3"/>
            <w:tcBorders>
              <w:top w:val="single" w:color="000000" w:sz="4" w:space="0"/>
              <w:left w:val="nil"/>
              <w:bottom w:val="single" w:color="000000" w:sz="4" w:space="0"/>
              <w:right w:val="single" w:color="000000" w:sz="8" w:space="0"/>
            </w:tcBorders>
            <w:noWrap/>
            <w:vAlign w:val="center"/>
          </w:tcPr>
          <w:p w14:paraId="3A52C208">
            <w:pPr>
              <w:jc w:val="center"/>
              <w:rPr>
                <w:rFonts w:ascii="仿宋" w:hAnsi="仿宋" w:eastAsia="仿宋"/>
                <w:kern w:val="0"/>
                <w:sz w:val="24"/>
              </w:rPr>
            </w:pPr>
            <w:r>
              <w:rPr>
                <w:rFonts w:ascii="仿宋" w:hAnsi="仿宋" w:eastAsia="仿宋"/>
                <w:kern w:val="0"/>
                <w:sz w:val="24"/>
              </w:rPr>
              <w:t>　</w:t>
            </w:r>
          </w:p>
        </w:tc>
      </w:tr>
      <w:tr w14:paraId="524C32AC">
        <w:tblPrEx>
          <w:tblCellMar>
            <w:top w:w="0" w:type="dxa"/>
            <w:left w:w="108" w:type="dxa"/>
            <w:bottom w:w="0" w:type="dxa"/>
            <w:right w:w="108" w:type="dxa"/>
          </w:tblCellMar>
        </w:tblPrEx>
        <w:trPr>
          <w:cantSplit/>
          <w:trHeight w:val="540" w:hRule="atLeast"/>
        </w:trPr>
        <w:tc>
          <w:tcPr>
            <w:tcW w:w="922" w:type="pct"/>
            <w:vMerge w:val="restart"/>
            <w:tcBorders>
              <w:top w:val="nil"/>
              <w:left w:val="single" w:color="000000" w:sz="8" w:space="0"/>
              <w:bottom w:val="single" w:color="000000" w:sz="4" w:space="0"/>
              <w:right w:val="single" w:color="000000" w:sz="4" w:space="0"/>
            </w:tcBorders>
            <w:noWrap/>
            <w:vAlign w:val="center"/>
          </w:tcPr>
          <w:p w14:paraId="319CD600">
            <w:pPr>
              <w:jc w:val="center"/>
              <w:rPr>
                <w:rFonts w:ascii="仿宋" w:hAnsi="仿宋" w:eastAsia="仿宋"/>
                <w:kern w:val="0"/>
                <w:sz w:val="24"/>
              </w:rPr>
            </w:pPr>
            <w:r>
              <w:rPr>
                <w:rFonts w:ascii="仿宋" w:hAnsi="仿宋" w:eastAsia="仿宋"/>
                <w:kern w:val="0"/>
                <w:sz w:val="24"/>
              </w:rPr>
              <w:t>项目编号</w:t>
            </w:r>
          </w:p>
        </w:tc>
        <w:tc>
          <w:tcPr>
            <w:tcW w:w="1349" w:type="pct"/>
            <w:vMerge w:val="restart"/>
            <w:tcBorders>
              <w:top w:val="nil"/>
              <w:left w:val="single" w:color="000000" w:sz="4" w:space="0"/>
              <w:bottom w:val="single" w:color="000000" w:sz="4" w:space="0"/>
              <w:right w:val="single" w:color="000000" w:sz="4" w:space="0"/>
            </w:tcBorders>
            <w:noWrap/>
            <w:vAlign w:val="center"/>
          </w:tcPr>
          <w:p w14:paraId="1D4096E0">
            <w:pPr>
              <w:jc w:val="center"/>
              <w:rPr>
                <w:rFonts w:ascii="仿宋" w:hAnsi="仿宋" w:eastAsia="仿宋"/>
                <w:kern w:val="0"/>
                <w:sz w:val="24"/>
              </w:rPr>
            </w:pPr>
            <w:r>
              <w:rPr>
                <w:rFonts w:ascii="仿宋" w:hAnsi="仿宋" w:eastAsia="仿宋"/>
                <w:kern w:val="0"/>
                <w:sz w:val="24"/>
              </w:rPr>
              <w:t>　</w:t>
            </w:r>
          </w:p>
        </w:tc>
        <w:tc>
          <w:tcPr>
            <w:tcW w:w="1481" w:type="pct"/>
            <w:tcBorders>
              <w:top w:val="nil"/>
              <w:left w:val="nil"/>
              <w:bottom w:val="single" w:color="000000" w:sz="4" w:space="0"/>
              <w:right w:val="single" w:color="000000" w:sz="4" w:space="0"/>
            </w:tcBorders>
            <w:noWrap/>
            <w:vAlign w:val="center"/>
          </w:tcPr>
          <w:p w14:paraId="37827E37">
            <w:pPr>
              <w:jc w:val="center"/>
              <w:rPr>
                <w:rFonts w:ascii="仿宋" w:hAnsi="仿宋" w:eastAsia="仿宋"/>
                <w:kern w:val="0"/>
                <w:sz w:val="24"/>
              </w:rPr>
            </w:pPr>
            <w:r>
              <w:rPr>
                <w:rFonts w:ascii="仿宋" w:hAnsi="仿宋" w:eastAsia="仿宋"/>
                <w:kern w:val="0"/>
                <w:sz w:val="24"/>
              </w:rPr>
              <w:t>合同金额</w:t>
            </w:r>
          </w:p>
        </w:tc>
        <w:tc>
          <w:tcPr>
            <w:tcW w:w="1248" w:type="pct"/>
            <w:tcBorders>
              <w:top w:val="nil"/>
              <w:left w:val="nil"/>
              <w:bottom w:val="single" w:color="000000" w:sz="4" w:space="0"/>
              <w:right w:val="single" w:color="000000" w:sz="8" w:space="0"/>
            </w:tcBorders>
            <w:noWrap/>
            <w:vAlign w:val="center"/>
          </w:tcPr>
          <w:p w14:paraId="159E6600">
            <w:pPr>
              <w:jc w:val="left"/>
              <w:rPr>
                <w:rFonts w:ascii="仿宋" w:hAnsi="仿宋" w:eastAsia="仿宋"/>
                <w:kern w:val="0"/>
                <w:sz w:val="24"/>
              </w:rPr>
            </w:pPr>
            <w:r>
              <w:rPr>
                <w:rFonts w:hint="eastAsia" w:ascii="宋体" w:hAnsi="宋体" w:eastAsia="宋体" w:cs="宋体"/>
                <w:kern w:val="0"/>
                <w:sz w:val="24"/>
              </w:rPr>
              <w:t>¥</w:t>
            </w:r>
            <w:r>
              <w:rPr>
                <w:rFonts w:ascii="仿宋" w:hAnsi="仿宋" w:eastAsia="仿宋"/>
                <w:kern w:val="0"/>
                <w:sz w:val="24"/>
              </w:rPr>
              <w:t>:</w:t>
            </w:r>
          </w:p>
        </w:tc>
      </w:tr>
      <w:tr w14:paraId="0F5EE159">
        <w:tblPrEx>
          <w:tblCellMar>
            <w:top w:w="0" w:type="dxa"/>
            <w:left w:w="108" w:type="dxa"/>
            <w:bottom w:w="0" w:type="dxa"/>
            <w:right w:w="108" w:type="dxa"/>
          </w:tblCellMar>
        </w:tblPrEx>
        <w:trPr>
          <w:cantSplit/>
          <w:trHeight w:val="540" w:hRule="atLeast"/>
        </w:trPr>
        <w:tc>
          <w:tcPr>
            <w:tcW w:w="922" w:type="pct"/>
            <w:vMerge w:val="continue"/>
            <w:tcBorders>
              <w:top w:val="nil"/>
              <w:left w:val="single" w:color="000000" w:sz="8" w:space="0"/>
              <w:bottom w:val="single" w:color="000000" w:sz="4" w:space="0"/>
              <w:right w:val="single" w:color="000000" w:sz="4" w:space="0"/>
            </w:tcBorders>
            <w:vAlign w:val="center"/>
          </w:tcPr>
          <w:p w14:paraId="090DA5D0">
            <w:pPr>
              <w:jc w:val="left"/>
              <w:rPr>
                <w:rFonts w:ascii="仿宋" w:hAnsi="仿宋" w:eastAsia="仿宋"/>
                <w:kern w:val="0"/>
                <w:sz w:val="24"/>
              </w:rPr>
            </w:pPr>
          </w:p>
        </w:tc>
        <w:tc>
          <w:tcPr>
            <w:tcW w:w="1349" w:type="pct"/>
            <w:vMerge w:val="continue"/>
            <w:tcBorders>
              <w:top w:val="nil"/>
              <w:left w:val="single" w:color="000000" w:sz="4" w:space="0"/>
              <w:bottom w:val="single" w:color="000000" w:sz="4" w:space="0"/>
              <w:right w:val="single" w:color="000000" w:sz="4" w:space="0"/>
            </w:tcBorders>
            <w:vAlign w:val="center"/>
          </w:tcPr>
          <w:p w14:paraId="5F33376A">
            <w:pPr>
              <w:jc w:val="left"/>
              <w:rPr>
                <w:rFonts w:ascii="仿宋" w:hAnsi="仿宋" w:eastAsia="仿宋"/>
                <w:kern w:val="0"/>
                <w:sz w:val="24"/>
              </w:rPr>
            </w:pPr>
          </w:p>
        </w:tc>
        <w:tc>
          <w:tcPr>
            <w:tcW w:w="1481" w:type="pct"/>
            <w:tcBorders>
              <w:top w:val="nil"/>
              <w:left w:val="nil"/>
              <w:bottom w:val="single" w:color="000000" w:sz="4" w:space="0"/>
              <w:right w:val="single" w:color="000000" w:sz="4" w:space="0"/>
            </w:tcBorders>
            <w:noWrap/>
            <w:vAlign w:val="center"/>
          </w:tcPr>
          <w:p w14:paraId="6D9C16C8">
            <w:pPr>
              <w:jc w:val="center"/>
              <w:rPr>
                <w:rFonts w:ascii="仿宋" w:hAnsi="仿宋" w:eastAsia="仿宋"/>
                <w:kern w:val="0"/>
                <w:sz w:val="24"/>
              </w:rPr>
            </w:pPr>
            <w:r>
              <w:rPr>
                <w:rFonts w:ascii="仿宋" w:hAnsi="仿宋" w:eastAsia="仿宋"/>
                <w:kern w:val="0"/>
                <w:sz w:val="24"/>
              </w:rPr>
              <w:t>验收时间/地点</w:t>
            </w:r>
          </w:p>
        </w:tc>
        <w:tc>
          <w:tcPr>
            <w:tcW w:w="1248" w:type="pct"/>
            <w:tcBorders>
              <w:top w:val="nil"/>
              <w:left w:val="nil"/>
              <w:bottom w:val="single" w:color="000000" w:sz="4" w:space="0"/>
              <w:right w:val="single" w:color="000000" w:sz="8" w:space="0"/>
            </w:tcBorders>
            <w:noWrap/>
            <w:vAlign w:val="center"/>
          </w:tcPr>
          <w:p w14:paraId="121CA99C">
            <w:pPr>
              <w:jc w:val="center"/>
              <w:rPr>
                <w:rFonts w:ascii="仿宋" w:hAnsi="仿宋" w:eastAsia="仿宋"/>
                <w:kern w:val="0"/>
                <w:sz w:val="24"/>
              </w:rPr>
            </w:pPr>
            <w:r>
              <w:rPr>
                <w:rFonts w:ascii="仿宋" w:hAnsi="仿宋" w:eastAsia="仿宋"/>
                <w:kern w:val="0"/>
                <w:sz w:val="24"/>
              </w:rPr>
              <w:t>　</w:t>
            </w:r>
          </w:p>
        </w:tc>
      </w:tr>
      <w:tr w14:paraId="14B45EE3">
        <w:tblPrEx>
          <w:tblCellMar>
            <w:top w:w="0" w:type="dxa"/>
            <w:left w:w="108" w:type="dxa"/>
            <w:bottom w:w="0" w:type="dxa"/>
            <w:right w:w="108" w:type="dxa"/>
          </w:tblCellMar>
        </w:tblPrEx>
        <w:trPr>
          <w:trHeight w:val="471" w:hRule="atLeast"/>
        </w:trPr>
        <w:tc>
          <w:tcPr>
            <w:tcW w:w="922" w:type="pct"/>
            <w:tcBorders>
              <w:top w:val="nil"/>
              <w:left w:val="single" w:color="000000" w:sz="8" w:space="0"/>
              <w:bottom w:val="single" w:color="000000" w:sz="4" w:space="0"/>
              <w:right w:val="single" w:color="000000" w:sz="4" w:space="0"/>
            </w:tcBorders>
            <w:noWrap/>
            <w:vAlign w:val="center"/>
          </w:tcPr>
          <w:p w14:paraId="2B024B40">
            <w:pPr>
              <w:jc w:val="center"/>
              <w:rPr>
                <w:rFonts w:ascii="仿宋" w:hAnsi="仿宋" w:eastAsia="仿宋"/>
                <w:kern w:val="0"/>
                <w:sz w:val="24"/>
              </w:rPr>
            </w:pPr>
            <w:r>
              <w:rPr>
                <w:rFonts w:ascii="仿宋" w:hAnsi="仿宋" w:eastAsia="仿宋"/>
                <w:kern w:val="0"/>
                <w:sz w:val="24"/>
              </w:rPr>
              <w:t>供货单位</w:t>
            </w:r>
          </w:p>
        </w:tc>
        <w:tc>
          <w:tcPr>
            <w:tcW w:w="4078" w:type="pct"/>
            <w:gridSpan w:val="3"/>
            <w:tcBorders>
              <w:top w:val="single" w:color="000000" w:sz="4" w:space="0"/>
              <w:left w:val="nil"/>
              <w:bottom w:val="single" w:color="000000" w:sz="4" w:space="0"/>
              <w:right w:val="single" w:color="000000" w:sz="8" w:space="0"/>
            </w:tcBorders>
            <w:noWrap/>
            <w:vAlign w:val="center"/>
          </w:tcPr>
          <w:p w14:paraId="02B659BA">
            <w:pPr>
              <w:jc w:val="center"/>
              <w:rPr>
                <w:rFonts w:ascii="仿宋" w:hAnsi="仿宋" w:eastAsia="仿宋"/>
                <w:kern w:val="0"/>
                <w:sz w:val="24"/>
              </w:rPr>
            </w:pPr>
            <w:r>
              <w:rPr>
                <w:rFonts w:ascii="仿宋" w:hAnsi="仿宋" w:eastAsia="仿宋"/>
                <w:kern w:val="0"/>
                <w:sz w:val="24"/>
              </w:rPr>
              <w:t>　</w:t>
            </w:r>
          </w:p>
        </w:tc>
      </w:tr>
      <w:tr w14:paraId="70154F48">
        <w:tblPrEx>
          <w:tblCellMar>
            <w:top w:w="0" w:type="dxa"/>
            <w:left w:w="108" w:type="dxa"/>
            <w:bottom w:w="0" w:type="dxa"/>
            <w:right w:w="108" w:type="dxa"/>
          </w:tblCellMar>
        </w:tblPrEx>
        <w:trPr>
          <w:trHeight w:val="540" w:hRule="atLeast"/>
        </w:trPr>
        <w:tc>
          <w:tcPr>
            <w:tcW w:w="922" w:type="pct"/>
            <w:tcBorders>
              <w:top w:val="nil"/>
              <w:left w:val="single" w:color="000000" w:sz="8" w:space="0"/>
              <w:bottom w:val="single" w:color="000000" w:sz="4" w:space="0"/>
              <w:right w:val="single" w:color="000000" w:sz="4" w:space="0"/>
            </w:tcBorders>
            <w:noWrap/>
            <w:vAlign w:val="center"/>
          </w:tcPr>
          <w:p w14:paraId="0E466975">
            <w:pPr>
              <w:jc w:val="center"/>
              <w:rPr>
                <w:rFonts w:ascii="仿宋" w:hAnsi="仿宋" w:eastAsia="仿宋"/>
                <w:kern w:val="0"/>
                <w:sz w:val="24"/>
              </w:rPr>
            </w:pPr>
            <w:r>
              <w:rPr>
                <w:rFonts w:ascii="仿宋" w:hAnsi="仿宋" w:eastAsia="仿宋"/>
                <w:kern w:val="0"/>
                <w:sz w:val="24"/>
              </w:rPr>
              <w:t>开户行</w:t>
            </w:r>
          </w:p>
        </w:tc>
        <w:tc>
          <w:tcPr>
            <w:tcW w:w="1349" w:type="pct"/>
            <w:tcBorders>
              <w:top w:val="nil"/>
              <w:left w:val="nil"/>
              <w:bottom w:val="single" w:color="000000" w:sz="4" w:space="0"/>
              <w:right w:val="single" w:color="000000" w:sz="4" w:space="0"/>
            </w:tcBorders>
            <w:noWrap/>
            <w:vAlign w:val="center"/>
          </w:tcPr>
          <w:p w14:paraId="6B02133B">
            <w:pPr>
              <w:jc w:val="center"/>
              <w:rPr>
                <w:rFonts w:ascii="仿宋" w:hAnsi="仿宋" w:eastAsia="仿宋"/>
                <w:kern w:val="0"/>
                <w:sz w:val="24"/>
              </w:rPr>
            </w:pPr>
            <w:r>
              <w:rPr>
                <w:rFonts w:ascii="仿宋" w:hAnsi="仿宋" w:eastAsia="仿宋"/>
                <w:kern w:val="0"/>
                <w:sz w:val="24"/>
              </w:rPr>
              <w:t>　</w:t>
            </w:r>
          </w:p>
        </w:tc>
        <w:tc>
          <w:tcPr>
            <w:tcW w:w="1481" w:type="pct"/>
            <w:tcBorders>
              <w:top w:val="nil"/>
              <w:left w:val="nil"/>
              <w:bottom w:val="single" w:color="000000" w:sz="4" w:space="0"/>
              <w:right w:val="single" w:color="000000" w:sz="4" w:space="0"/>
            </w:tcBorders>
            <w:noWrap/>
            <w:vAlign w:val="center"/>
          </w:tcPr>
          <w:p w14:paraId="7A178D70">
            <w:pPr>
              <w:jc w:val="center"/>
              <w:rPr>
                <w:rFonts w:ascii="仿宋" w:hAnsi="仿宋" w:eastAsia="仿宋"/>
                <w:kern w:val="0"/>
                <w:sz w:val="24"/>
              </w:rPr>
            </w:pPr>
            <w:r>
              <w:rPr>
                <w:rFonts w:ascii="仿宋" w:hAnsi="仿宋" w:eastAsia="仿宋"/>
                <w:kern w:val="0"/>
                <w:sz w:val="24"/>
              </w:rPr>
              <w:t>账号</w:t>
            </w:r>
          </w:p>
        </w:tc>
        <w:tc>
          <w:tcPr>
            <w:tcW w:w="1248" w:type="pct"/>
            <w:tcBorders>
              <w:top w:val="nil"/>
              <w:left w:val="nil"/>
              <w:bottom w:val="single" w:color="000000" w:sz="4" w:space="0"/>
              <w:right w:val="single" w:color="000000" w:sz="8" w:space="0"/>
            </w:tcBorders>
            <w:noWrap/>
            <w:vAlign w:val="center"/>
          </w:tcPr>
          <w:p w14:paraId="12B5AE86">
            <w:pPr>
              <w:jc w:val="center"/>
              <w:rPr>
                <w:rFonts w:ascii="仿宋" w:hAnsi="仿宋" w:eastAsia="仿宋"/>
                <w:kern w:val="0"/>
                <w:sz w:val="24"/>
              </w:rPr>
            </w:pPr>
            <w:r>
              <w:rPr>
                <w:rFonts w:ascii="仿宋" w:hAnsi="仿宋" w:eastAsia="仿宋"/>
                <w:kern w:val="0"/>
                <w:sz w:val="24"/>
              </w:rPr>
              <w:t>　</w:t>
            </w:r>
          </w:p>
        </w:tc>
      </w:tr>
      <w:tr w14:paraId="5471615A">
        <w:tblPrEx>
          <w:tblCellMar>
            <w:top w:w="0" w:type="dxa"/>
            <w:left w:w="108" w:type="dxa"/>
            <w:bottom w:w="0" w:type="dxa"/>
            <w:right w:w="108" w:type="dxa"/>
          </w:tblCellMar>
        </w:tblPrEx>
        <w:trPr>
          <w:trHeight w:val="540" w:hRule="atLeast"/>
        </w:trPr>
        <w:tc>
          <w:tcPr>
            <w:tcW w:w="922" w:type="pct"/>
            <w:tcBorders>
              <w:top w:val="nil"/>
              <w:left w:val="single" w:color="000000" w:sz="8" w:space="0"/>
              <w:bottom w:val="nil"/>
              <w:right w:val="single" w:color="000000" w:sz="4" w:space="0"/>
            </w:tcBorders>
            <w:noWrap/>
            <w:vAlign w:val="center"/>
          </w:tcPr>
          <w:p w14:paraId="0AEB64FE">
            <w:pPr>
              <w:jc w:val="center"/>
              <w:rPr>
                <w:rFonts w:ascii="仿宋" w:hAnsi="仿宋" w:eastAsia="仿宋"/>
                <w:kern w:val="0"/>
                <w:sz w:val="24"/>
              </w:rPr>
            </w:pPr>
            <w:r>
              <w:rPr>
                <w:rFonts w:ascii="仿宋" w:hAnsi="仿宋" w:eastAsia="仿宋"/>
                <w:kern w:val="0"/>
                <w:sz w:val="24"/>
              </w:rPr>
              <w:t>联系人</w:t>
            </w:r>
          </w:p>
        </w:tc>
        <w:tc>
          <w:tcPr>
            <w:tcW w:w="1349" w:type="pct"/>
            <w:tcBorders>
              <w:top w:val="nil"/>
              <w:left w:val="nil"/>
              <w:bottom w:val="nil"/>
              <w:right w:val="single" w:color="000000" w:sz="4" w:space="0"/>
            </w:tcBorders>
            <w:noWrap/>
            <w:vAlign w:val="center"/>
          </w:tcPr>
          <w:p w14:paraId="4DBC558F">
            <w:pPr>
              <w:jc w:val="center"/>
              <w:rPr>
                <w:rFonts w:ascii="仿宋" w:hAnsi="仿宋" w:eastAsia="仿宋"/>
                <w:kern w:val="0"/>
                <w:sz w:val="24"/>
              </w:rPr>
            </w:pPr>
            <w:r>
              <w:rPr>
                <w:rFonts w:ascii="仿宋" w:hAnsi="仿宋" w:eastAsia="仿宋"/>
                <w:kern w:val="0"/>
                <w:sz w:val="24"/>
              </w:rPr>
              <w:t>　</w:t>
            </w:r>
          </w:p>
        </w:tc>
        <w:tc>
          <w:tcPr>
            <w:tcW w:w="1481" w:type="pct"/>
            <w:tcBorders>
              <w:top w:val="nil"/>
              <w:left w:val="nil"/>
              <w:bottom w:val="nil"/>
              <w:right w:val="single" w:color="000000" w:sz="4" w:space="0"/>
            </w:tcBorders>
            <w:noWrap/>
            <w:vAlign w:val="center"/>
          </w:tcPr>
          <w:p w14:paraId="3989CBFC">
            <w:pPr>
              <w:jc w:val="center"/>
              <w:rPr>
                <w:rFonts w:ascii="仿宋" w:hAnsi="仿宋" w:eastAsia="仿宋"/>
                <w:kern w:val="0"/>
                <w:sz w:val="24"/>
              </w:rPr>
            </w:pPr>
            <w:r>
              <w:rPr>
                <w:rFonts w:ascii="仿宋" w:hAnsi="仿宋" w:eastAsia="仿宋"/>
                <w:kern w:val="0"/>
                <w:sz w:val="24"/>
              </w:rPr>
              <w:t>电话</w:t>
            </w:r>
          </w:p>
        </w:tc>
        <w:tc>
          <w:tcPr>
            <w:tcW w:w="1248" w:type="pct"/>
            <w:tcBorders>
              <w:top w:val="nil"/>
              <w:left w:val="nil"/>
              <w:bottom w:val="nil"/>
              <w:right w:val="single" w:color="000000" w:sz="8" w:space="0"/>
            </w:tcBorders>
            <w:noWrap/>
            <w:vAlign w:val="center"/>
          </w:tcPr>
          <w:p w14:paraId="055B4EE2">
            <w:pPr>
              <w:jc w:val="center"/>
              <w:rPr>
                <w:rFonts w:ascii="仿宋" w:hAnsi="仿宋" w:eastAsia="仿宋"/>
                <w:kern w:val="0"/>
                <w:sz w:val="24"/>
              </w:rPr>
            </w:pPr>
            <w:r>
              <w:rPr>
                <w:rFonts w:ascii="仿宋" w:hAnsi="仿宋" w:eastAsia="仿宋"/>
                <w:kern w:val="0"/>
                <w:sz w:val="24"/>
              </w:rPr>
              <w:t>　</w:t>
            </w:r>
          </w:p>
        </w:tc>
      </w:tr>
      <w:tr w14:paraId="76BC6B0C">
        <w:tblPrEx>
          <w:tblCellMar>
            <w:top w:w="0" w:type="dxa"/>
            <w:left w:w="108" w:type="dxa"/>
            <w:bottom w:w="0" w:type="dxa"/>
            <w:right w:w="108" w:type="dxa"/>
          </w:tblCellMar>
        </w:tblPrEx>
        <w:trPr>
          <w:trHeight w:val="880" w:hRule="atLeast"/>
        </w:trPr>
        <w:tc>
          <w:tcPr>
            <w:tcW w:w="2271" w:type="pct"/>
            <w:gridSpan w:val="2"/>
            <w:tcBorders>
              <w:top w:val="single" w:color="000000" w:sz="4" w:space="0"/>
              <w:left w:val="single" w:color="000000" w:sz="8" w:space="0"/>
              <w:bottom w:val="nil"/>
              <w:right w:val="nil"/>
            </w:tcBorders>
          </w:tcPr>
          <w:p w14:paraId="79BBE14B">
            <w:pPr>
              <w:jc w:val="left"/>
              <w:rPr>
                <w:rFonts w:ascii="仿宋" w:hAnsi="仿宋" w:eastAsia="仿宋"/>
                <w:kern w:val="0"/>
                <w:sz w:val="24"/>
              </w:rPr>
            </w:pPr>
            <w:r>
              <w:rPr>
                <w:rFonts w:ascii="仿宋" w:hAnsi="仿宋" w:eastAsia="仿宋"/>
                <w:kern w:val="0"/>
                <w:sz w:val="24"/>
              </w:rPr>
              <w:t xml:space="preserve">  供货单位：（盖章）</w:t>
            </w:r>
          </w:p>
        </w:tc>
        <w:tc>
          <w:tcPr>
            <w:tcW w:w="2729" w:type="pct"/>
            <w:gridSpan w:val="2"/>
            <w:tcBorders>
              <w:top w:val="single" w:color="000000" w:sz="4" w:space="0"/>
              <w:left w:val="single" w:color="000000" w:sz="4" w:space="0"/>
              <w:bottom w:val="nil"/>
              <w:right w:val="single" w:color="000000" w:sz="8" w:space="0"/>
            </w:tcBorders>
          </w:tcPr>
          <w:p w14:paraId="65190483">
            <w:pPr>
              <w:jc w:val="left"/>
              <w:rPr>
                <w:rFonts w:ascii="仿宋" w:hAnsi="仿宋" w:eastAsia="仿宋"/>
                <w:kern w:val="0"/>
                <w:sz w:val="24"/>
              </w:rPr>
            </w:pPr>
            <w:r>
              <w:rPr>
                <w:rFonts w:ascii="仿宋" w:hAnsi="仿宋" w:eastAsia="仿宋"/>
                <w:kern w:val="0"/>
                <w:sz w:val="24"/>
              </w:rPr>
              <w:t xml:space="preserve">   使用单位验收意见：（盖章）</w:t>
            </w:r>
          </w:p>
          <w:p w14:paraId="3E044612">
            <w:pPr>
              <w:rPr>
                <w:rFonts w:ascii="仿宋" w:hAnsi="仿宋" w:eastAsia="仿宋"/>
                <w:sz w:val="24"/>
              </w:rPr>
            </w:pPr>
          </w:p>
        </w:tc>
      </w:tr>
      <w:tr w14:paraId="6E3E6AC0">
        <w:tblPrEx>
          <w:tblCellMar>
            <w:top w:w="0" w:type="dxa"/>
            <w:left w:w="108" w:type="dxa"/>
            <w:bottom w:w="0" w:type="dxa"/>
            <w:right w:w="108" w:type="dxa"/>
          </w:tblCellMar>
        </w:tblPrEx>
        <w:trPr>
          <w:trHeight w:val="480" w:hRule="atLeast"/>
        </w:trPr>
        <w:tc>
          <w:tcPr>
            <w:tcW w:w="922" w:type="pct"/>
            <w:tcBorders>
              <w:top w:val="nil"/>
              <w:left w:val="single" w:color="000000" w:sz="8" w:space="0"/>
              <w:bottom w:val="nil"/>
              <w:right w:val="nil"/>
            </w:tcBorders>
            <w:noWrap/>
            <w:vAlign w:val="center"/>
          </w:tcPr>
          <w:p w14:paraId="276C51A9">
            <w:pPr>
              <w:jc w:val="center"/>
              <w:rPr>
                <w:rFonts w:ascii="仿宋" w:hAnsi="仿宋" w:eastAsia="仿宋"/>
                <w:kern w:val="0"/>
                <w:sz w:val="24"/>
              </w:rPr>
            </w:pPr>
            <w:r>
              <w:rPr>
                <w:rFonts w:ascii="仿宋" w:hAnsi="仿宋" w:eastAsia="仿宋"/>
                <w:kern w:val="0"/>
                <w:sz w:val="24"/>
              </w:rPr>
              <w:t xml:space="preserve"> 签字：</w:t>
            </w:r>
          </w:p>
        </w:tc>
        <w:tc>
          <w:tcPr>
            <w:tcW w:w="1349" w:type="pct"/>
            <w:tcBorders>
              <w:top w:val="nil"/>
              <w:left w:val="nil"/>
              <w:bottom w:val="nil"/>
              <w:right w:val="nil"/>
            </w:tcBorders>
            <w:noWrap/>
            <w:vAlign w:val="center"/>
          </w:tcPr>
          <w:p w14:paraId="000EB747">
            <w:pPr>
              <w:jc w:val="center"/>
              <w:rPr>
                <w:rFonts w:ascii="仿宋" w:hAnsi="仿宋" w:eastAsia="仿宋"/>
                <w:kern w:val="0"/>
                <w:sz w:val="24"/>
              </w:rPr>
            </w:pPr>
          </w:p>
        </w:tc>
        <w:tc>
          <w:tcPr>
            <w:tcW w:w="1481" w:type="pct"/>
            <w:tcBorders>
              <w:top w:val="nil"/>
              <w:left w:val="single" w:color="000000" w:sz="4" w:space="0"/>
              <w:bottom w:val="nil"/>
              <w:right w:val="nil"/>
            </w:tcBorders>
            <w:noWrap/>
            <w:vAlign w:val="center"/>
          </w:tcPr>
          <w:p w14:paraId="7EB4E8C2">
            <w:pPr>
              <w:jc w:val="center"/>
              <w:rPr>
                <w:rFonts w:ascii="仿宋" w:hAnsi="仿宋" w:eastAsia="仿宋"/>
                <w:kern w:val="0"/>
                <w:sz w:val="24"/>
              </w:rPr>
            </w:pPr>
            <w:r>
              <w:rPr>
                <w:rFonts w:ascii="仿宋" w:hAnsi="仿宋" w:eastAsia="仿宋"/>
                <w:kern w:val="0"/>
                <w:sz w:val="24"/>
              </w:rPr>
              <w:t>签字：</w:t>
            </w:r>
          </w:p>
        </w:tc>
        <w:tc>
          <w:tcPr>
            <w:tcW w:w="1248" w:type="pct"/>
            <w:tcBorders>
              <w:top w:val="nil"/>
              <w:left w:val="nil"/>
              <w:bottom w:val="nil"/>
              <w:right w:val="single" w:color="000000" w:sz="8" w:space="0"/>
            </w:tcBorders>
          </w:tcPr>
          <w:p w14:paraId="02B1FCBB">
            <w:pPr>
              <w:jc w:val="left"/>
              <w:rPr>
                <w:rFonts w:ascii="仿宋" w:hAnsi="仿宋" w:eastAsia="仿宋"/>
                <w:kern w:val="0"/>
                <w:sz w:val="24"/>
              </w:rPr>
            </w:pPr>
            <w:r>
              <w:rPr>
                <w:rFonts w:ascii="仿宋" w:hAnsi="仿宋" w:eastAsia="仿宋"/>
                <w:kern w:val="0"/>
                <w:sz w:val="24"/>
              </w:rPr>
              <w:t>　</w:t>
            </w:r>
          </w:p>
        </w:tc>
      </w:tr>
      <w:tr w14:paraId="1C32F9D7">
        <w:tblPrEx>
          <w:tblCellMar>
            <w:top w:w="0" w:type="dxa"/>
            <w:left w:w="108" w:type="dxa"/>
            <w:bottom w:w="0" w:type="dxa"/>
            <w:right w:w="108" w:type="dxa"/>
          </w:tblCellMar>
        </w:tblPrEx>
        <w:trPr>
          <w:trHeight w:val="78" w:hRule="atLeast"/>
        </w:trPr>
        <w:tc>
          <w:tcPr>
            <w:tcW w:w="922" w:type="pct"/>
            <w:tcBorders>
              <w:top w:val="nil"/>
              <w:left w:val="single" w:color="000000" w:sz="8" w:space="0"/>
              <w:bottom w:val="single" w:color="000000" w:sz="4" w:space="0"/>
              <w:right w:val="nil"/>
            </w:tcBorders>
            <w:noWrap/>
            <w:vAlign w:val="center"/>
          </w:tcPr>
          <w:p w14:paraId="2D4ACC0D">
            <w:pPr>
              <w:jc w:val="left"/>
              <w:rPr>
                <w:rFonts w:ascii="仿宋" w:hAnsi="仿宋" w:eastAsia="仿宋"/>
                <w:kern w:val="0"/>
                <w:sz w:val="22"/>
                <w:szCs w:val="22"/>
              </w:rPr>
            </w:pPr>
            <w:r>
              <w:rPr>
                <w:rFonts w:ascii="仿宋" w:hAnsi="仿宋" w:eastAsia="仿宋"/>
                <w:kern w:val="0"/>
                <w:sz w:val="22"/>
                <w:szCs w:val="22"/>
              </w:rPr>
              <w:t>　</w:t>
            </w:r>
          </w:p>
        </w:tc>
        <w:tc>
          <w:tcPr>
            <w:tcW w:w="1349" w:type="pct"/>
            <w:tcBorders>
              <w:top w:val="nil"/>
              <w:left w:val="nil"/>
              <w:bottom w:val="single" w:color="000000" w:sz="4" w:space="0"/>
              <w:right w:val="nil"/>
            </w:tcBorders>
            <w:vAlign w:val="bottom"/>
          </w:tcPr>
          <w:p w14:paraId="0FA8F747">
            <w:pPr>
              <w:jc w:val="right"/>
              <w:rPr>
                <w:rFonts w:ascii="仿宋" w:hAnsi="仿宋" w:eastAsia="仿宋"/>
                <w:kern w:val="0"/>
                <w:sz w:val="22"/>
                <w:szCs w:val="22"/>
              </w:rPr>
            </w:pPr>
            <w:r>
              <w:rPr>
                <w:rFonts w:ascii="仿宋" w:hAnsi="仿宋" w:eastAsia="仿宋"/>
                <w:kern w:val="0"/>
                <w:sz w:val="22"/>
                <w:szCs w:val="22"/>
              </w:rPr>
              <w:t>年     月   日</w:t>
            </w:r>
          </w:p>
        </w:tc>
        <w:tc>
          <w:tcPr>
            <w:tcW w:w="1481" w:type="pct"/>
            <w:tcBorders>
              <w:top w:val="nil"/>
              <w:left w:val="single" w:color="000000" w:sz="4" w:space="0"/>
              <w:bottom w:val="single" w:color="000000" w:sz="4" w:space="0"/>
              <w:right w:val="nil"/>
            </w:tcBorders>
            <w:noWrap/>
            <w:vAlign w:val="center"/>
          </w:tcPr>
          <w:p w14:paraId="68C7C98B">
            <w:pPr>
              <w:jc w:val="left"/>
              <w:rPr>
                <w:rFonts w:ascii="仿宋" w:hAnsi="仿宋" w:eastAsia="仿宋"/>
                <w:kern w:val="0"/>
                <w:sz w:val="22"/>
                <w:szCs w:val="22"/>
              </w:rPr>
            </w:pPr>
            <w:r>
              <w:rPr>
                <w:rFonts w:ascii="仿宋" w:hAnsi="仿宋" w:eastAsia="仿宋"/>
                <w:kern w:val="0"/>
                <w:sz w:val="22"/>
                <w:szCs w:val="22"/>
              </w:rPr>
              <w:t>　</w:t>
            </w:r>
          </w:p>
        </w:tc>
        <w:tc>
          <w:tcPr>
            <w:tcW w:w="1248" w:type="pct"/>
            <w:tcBorders>
              <w:top w:val="nil"/>
              <w:left w:val="nil"/>
              <w:bottom w:val="single" w:color="000000" w:sz="4" w:space="0"/>
              <w:right w:val="single" w:color="000000" w:sz="8" w:space="0"/>
            </w:tcBorders>
            <w:vAlign w:val="bottom"/>
          </w:tcPr>
          <w:p w14:paraId="798B9070">
            <w:pPr>
              <w:jc w:val="right"/>
              <w:rPr>
                <w:rFonts w:ascii="仿宋" w:hAnsi="仿宋" w:eastAsia="仿宋"/>
                <w:kern w:val="0"/>
                <w:sz w:val="22"/>
                <w:szCs w:val="22"/>
              </w:rPr>
            </w:pPr>
            <w:r>
              <w:rPr>
                <w:rFonts w:ascii="仿宋" w:hAnsi="仿宋" w:eastAsia="仿宋"/>
                <w:kern w:val="0"/>
                <w:sz w:val="22"/>
                <w:szCs w:val="22"/>
              </w:rPr>
              <w:t>年   月   日</w:t>
            </w:r>
          </w:p>
        </w:tc>
      </w:tr>
      <w:tr w14:paraId="4D31538E">
        <w:tblPrEx>
          <w:tblCellMar>
            <w:top w:w="0" w:type="dxa"/>
            <w:left w:w="108" w:type="dxa"/>
            <w:bottom w:w="0" w:type="dxa"/>
            <w:right w:w="108" w:type="dxa"/>
          </w:tblCellMar>
        </w:tblPrEx>
        <w:trPr>
          <w:trHeight w:val="603" w:hRule="atLeast"/>
        </w:trPr>
        <w:tc>
          <w:tcPr>
            <w:tcW w:w="5000" w:type="pct"/>
            <w:gridSpan w:val="4"/>
            <w:tcBorders>
              <w:top w:val="single" w:color="000000" w:sz="4" w:space="0"/>
              <w:left w:val="single" w:color="000000" w:sz="8" w:space="0"/>
              <w:bottom w:val="single" w:color="000000" w:sz="4" w:space="0"/>
              <w:right w:val="single" w:color="000000" w:sz="8" w:space="0"/>
            </w:tcBorders>
            <w:noWrap/>
            <w:vAlign w:val="center"/>
          </w:tcPr>
          <w:p w14:paraId="4CD8B239">
            <w:pPr>
              <w:jc w:val="center"/>
              <w:rPr>
                <w:rFonts w:ascii="仿宋" w:hAnsi="仿宋" w:eastAsia="仿宋"/>
                <w:kern w:val="0"/>
                <w:sz w:val="22"/>
                <w:szCs w:val="22"/>
              </w:rPr>
            </w:pPr>
            <w:r>
              <w:rPr>
                <w:rFonts w:ascii="仿宋" w:hAnsi="仿宋" w:eastAsia="仿宋"/>
                <w:kern w:val="0"/>
                <w:sz w:val="22"/>
                <w:szCs w:val="22"/>
              </w:rPr>
              <w:t>采购内容</w:t>
            </w:r>
          </w:p>
        </w:tc>
      </w:tr>
      <w:tr w14:paraId="096E5336">
        <w:tblPrEx>
          <w:tblCellMar>
            <w:top w:w="0" w:type="dxa"/>
            <w:left w:w="108" w:type="dxa"/>
            <w:bottom w:w="0" w:type="dxa"/>
            <w:right w:w="108" w:type="dxa"/>
          </w:tblCellMar>
        </w:tblPrEx>
        <w:trPr>
          <w:trHeight w:val="1975" w:hRule="atLeast"/>
        </w:trPr>
        <w:tc>
          <w:tcPr>
            <w:tcW w:w="5000" w:type="pct"/>
            <w:gridSpan w:val="4"/>
            <w:tcBorders>
              <w:top w:val="single" w:color="000000" w:sz="4" w:space="0"/>
              <w:left w:val="single" w:color="000000" w:sz="8" w:space="0"/>
              <w:bottom w:val="single" w:color="000000" w:sz="8" w:space="0"/>
              <w:right w:val="single" w:color="000000" w:sz="8" w:space="0"/>
            </w:tcBorders>
          </w:tcPr>
          <w:p w14:paraId="792C52E0">
            <w:pPr>
              <w:jc w:val="center"/>
              <w:rPr>
                <w:rFonts w:ascii="仿宋" w:hAnsi="仿宋" w:eastAsia="仿宋"/>
                <w:kern w:val="0"/>
                <w:sz w:val="28"/>
                <w:szCs w:val="28"/>
              </w:rPr>
            </w:pPr>
            <w:r>
              <w:rPr>
                <w:rFonts w:ascii="仿宋" w:hAnsi="仿宋" w:eastAsia="仿宋"/>
                <w:kern w:val="0"/>
                <w:sz w:val="28"/>
                <w:szCs w:val="28"/>
              </w:rPr>
              <w:t>采购内容请列明品目、规格、型号、数量、单价、总价</w:t>
            </w:r>
          </w:p>
        </w:tc>
      </w:tr>
    </w:tbl>
    <w:p w14:paraId="17F10FD0">
      <w:pPr>
        <w:rPr>
          <w:rFonts w:ascii="仿宋" w:hAnsi="仿宋" w:eastAsia="仿宋"/>
        </w:rPr>
      </w:pPr>
    </w:p>
    <w:p w14:paraId="53F4F7C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NDU0MTEzNzc2ZmJkOTM3NWM0Y2FjOTJiZTk1OGYifQ=="/>
  </w:docVars>
  <w:rsids>
    <w:rsidRoot w:val="00000000"/>
    <w:rsid w:val="3B4A7B03"/>
    <w:rsid w:val="50301540"/>
    <w:rsid w:val="7A6C5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kern w:val="2"/>
      <w:sz w:val="21"/>
      <w:szCs w:val="24"/>
      <w:lang w:val="en-US" w:eastAsia="zh-CN" w:bidi="ar-SA"/>
    </w:rPr>
  </w:style>
  <w:style w:type="paragraph" w:styleId="2">
    <w:name w:val="heading 1"/>
    <w:basedOn w:val="1"/>
    <w:link w:val="7"/>
    <w:qFormat/>
    <w:uiPriority w:val="0"/>
    <w:pPr>
      <w:autoSpaceDE w:val="0"/>
      <w:autoSpaceDN w:val="0"/>
      <w:spacing w:before="240" w:after="120" w:line="300" w:lineRule="auto"/>
      <w:jc w:val="center"/>
      <w:outlineLvl w:val="0"/>
    </w:pPr>
    <w:rPr>
      <w:rFonts w:ascii="宋体"/>
      <w:b/>
      <w:kern w:val="44"/>
      <w:sz w:val="32"/>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tabs>
        <w:tab w:val="left" w:pos="567"/>
      </w:tabs>
      <w:spacing w:before="120" w:line="22" w:lineRule="atLeast"/>
    </w:pPr>
    <w:rPr>
      <w:rFonts w:ascii="宋体" w:hAnsi="宋体"/>
      <w:sz w:val="24"/>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标题 1 Char"/>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1988</Words>
  <Characters>2028</Characters>
  <Lines>0</Lines>
  <Paragraphs>0</Paragraphs>
  <TotalTime>4</TotalTime>
  <ScaleCrop>false</ScaleCrop>
  <LinksUpToDate>false</LinksUpToDate>
  <CharactersWithSpaces>2100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它不懂</cp:lastModifiedBy>
  <dcterms:modified xsi:type="dcterms:W3CDTF">2024-08-27T09:28:44Z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3A974F83BB5745C0A3FB9B770DD59CE4_12</vt:lpwstr>
  </property>
</Properties>
</file>