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铜川市2024年地膜科学使用回收市本级项目</w:t>
      </w:r>
    </w:p>
    <w:p>
      <w:pPr>
        <w:pStyle w:val="null3"/>
        <w:jc w:val="center"/>
        <w:outlineLvl w:val="2"/>
      </w:pPr>
      <w:r>
        <w:rPr>
          <w:sz w:val="28"/>
          <w:b/>
        </w:rPr>
        <w:t>采购项目编号：</w:t>
      </w:r>
      <w:r>
        <w:rPr>
          <w:sz w:val="28"/>
          <w:b/>
        </w:rPr>
        <w:t>HX-TC-2024-022</w:t>
      </w:r>
      <w:r>
        <w:br/>
      </w:r>
      <w:r>
        <w:br/>
      </w:r>
      <w:r>
        <w:br/>
      </w:r>
    </w:p>
    <w:p>
      <w:pPr>
        <w:pStyle w:val="null3"/>
        <w:jc w:val="center"/>
        <w:outlineLvl w:val="2"/>
      </w:pPr>
      <w:r>
        <w:rPr>
          <w:sz w:val="28"/>
          <w:b/>
        </w:rPr>
        <w:t>铜川市农业科学研究所</w:t>
      </w:r>
    </w:p>
    <w:p>
      <w:pPr>
        <w:pStyle w:val="null3"/>
        <w:jc w:val="center"/>
        <w:outlineLvl w:val="2"/>
      </w:pPr>
      <w:r>
        <w:rPr>
          <w:sz w:val="28"/>
          <w:b/>
        </w:rPr>
        <w:t>华兴天成项目咨询有限公司</w:t>
      </w:r>
      <w:r>
        <w:rPr>
          <w:sz w:val="28"/>
          <w:b/>
        </w:rPr>
        <w:t>共同编制</w:t>
      </w:r>
    </w:p>
    <w:p>
      <w:pPr>
        <w:pStyle w:val="null3"/>
        <w:jc w:val="center"/>
        <w:outlineLvl w:val="2"/>
      </w:pPr>
      <w:r>
        <w:rPr>
          <w:sz w:val="28"/>
          <w:b/>
        </w:rPr>
        <w:t>2024年10月30日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华兴天成项目咨询有限公司</w:t>
      </w:r>
      <w:r>
        <w:rPr/>
        <w:t>（以下简称“代理机构”）受</w:t>
      </w:r>
      <w:r>
        <w:rPr/>
        <w:t>铜川市农业科学研究所</w:t>
      </w:r>
      <w:r>
        <w:rPr/>
        <w:t>委托，拟对</w:t>
      </w:r>
      <w:r>
        <w:rPr/>
        <w:t>铜川市2024年地膜科学使用回收市本级项目</w:t>
      </w:r>
      <w:r>
        <w:rPr/>
        <w:t>进行国内公开招标，兹邀请符合本次招标要求的供应商参加投标。</w:t>
      </w:r>
    </w:p>
    <w:p>
      <w:pPr>
        <w:pStyle w:val="null3"/>
        <w:outlineLvl w:val="2"/>
      </w:pPr>
      <w:r>
        <w:rPr>
          <w:sz w:val="28"/>
          <w:b/>
        </w:rPr>
        <w:t>一、采购项目编号：</w:t>
      </w:r>
      <w:r>
        <w:rPr>
          <w:sz w:val="28"/>
          <w:b/>
        </w:rPr>
        <w:t>HX-TC-2024-022</w:t>
      </w:r>
    </w:p>
    <w:p>
      <w:pPr>
        <w:pStyle w:val="null3"/>
        <w:outlineLvl w:val="2"/>
      </w:pPr>
      <w:r>
        <w:rPr>
          <w:sz w:val="28"/>
          <w:b/>
        </w:rPr>
        <w:t>二、采购项目名称：</w:t>
      </w:r>
      <w:r>
        <w:rPr>
          <w:sz w:val="28"/>
          <w:b/>
        </w:rPr>
        <w:t>铜川市2024年地膜科学使用回收市本级项目</w:t>
      </w:r>
    </w:p>
    <w:p>
      <w:pPr>
        <w:pStyle w:val="null3"/>
        <w:outlineLvl w:val="2"/>
      </w:pPr>
      <w:r>
        <w:rPr>
          <w:sz w:val="28"/>
          <w:b/>
        </w:rPr>
        <w:t>三、招标项目简介</w:t>
      </w:r>
    </w:p>
    <w:p>
      <w:pPr>
        <w:pStyle w:val="null3"/>
        <w:ind w:firstLine="480"/>
      </w:pPr>
      <w:r>
        <w:rPr/>
        <w:t>采购加厚高强度地膜（反光）、全生物降解地膜、高强度地膜。</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采购包1（加厚高强度地膜（反光））：属于专门面向中小企业采购。</w:t>
      </w:r>
    </w:p>
    <w:p>
      <w:pPr>
        <w:pStyle w:val="null3"/>
      </w:pPr>
      <w:r>
        <w:rPr/>
        <w:t>采购包2（全生物降解地膜、高强度地膜）：属于专门面向中小企业采购。</w:t>
      </w:r>
    </w:p>
    <w:p>
      <w:pPr>
        <w:pStyle w:val="null3"/>
        <w:ind w:firstLine="480"/>
      </w:pPr>
      <w:r>
        <w:rPr/>
        <w:t>（三）本项目的特定资格要求：</w:t>
      </w:r>
    </w:p>
    <w:p>
      <w:pPr>
        <w:pStyle w:val="null3"/>
      </w:pPr>
      <w:r>
        <w:rPr/>
        <w:t>采购包1：</w:t>
      </w:r>
    </w:p>
    <w:p>
      <w:pPr>
        <w:pStyle w:val="null3"/>
      </w:pPr>
      <w:r>
        <w:rPr/>
        <w:t>1、营业执照 等主体资 格证明文件：具有独立承担民事责任能力的法人或其他组织，提供有效存续的营业执照或事业单位法人证书或非企业专业服务机构执业许可证或民办非企业单位登记证书或自然人的身份证明；供应商需在项目电子化交易系统中按要求上传相应证明文件并进行电子签章。</w:t>
      </w:r>
    </w:p>
    <w:p>
      <w:pPr>
        <w:pStyle w:val="null3"/>
      </w:pPr>
      <w:r>
        <w:rPr/>
        <w:t>2、税收缴纳证明：提供已缴纳的2023年1月至今任意一个月的纳税证明或完 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t>3、社会保障资金缴纳证明：提供已缴存的2023年1月至今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t>4、无重大违法记录书面声明：供应商须出具参加本次政府采购活动前三年内在经营活动中没有重大违法记录的书面声明；供应商需在项目电子化交易系统中按要求上传相应证明文件并进行电子签章。</w:t>
      </w:r>
    </w:p>
    <w:p>
      <w:pPr>
        <w:pStyle w:val="null3"/>
      </w:pPr>
      <w:r>
        <w:rPr/>
        <w:t>5、具有履行合同所必需的设备和专业技术能力：供应商须提供具有履行合同所必需的设备和专业技术能力的承诺；供应商需在项目电子化交易系统中按要求上传相应证明文件并进行电子签章。</w:t>
      </w:r>
    </w:p>
    <w:p>
      <w:pPr>
        <w:pStyle w:val="null3"/>
      </w:pPr>
      <w:r>
        <w:rPr/>
        <w:t>6、法人身份证明或法人授权书：法定代表人参加投标的提供法定代表人身份证明及身份证 ，委托代理人参加投标的提供授权委托书及委托代理人身份证； 自然人只需提供身份证；备注：分支机构由分支机构负责人授权即可；供应商需在项目电子化交易系统中按要求上传相应证明文件并进行电子签章。</w:t>
      </w:r>
    </w:p>
    <w:p>
      <w:pPr>
        <w:pStyle w:val="null3"/>
      </w:pPr>
      <w:r>
        <w:rPr/>
        <w:t>7、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供应商需在项目电子化交易系统中按要求上传相应证明文件并进行电子签章。</w:t>
      </w:r>
    </w:p>
    <w:p>
      <w:pPr>
        <w:pStyle w:val="null3"/>
      </w:pPr>
      <w:r>
        <w:rPr/>
        <w:t>采购包2：</w:t>
      </w:r>
    </w:p>
    <w:p>
      <w:pPr>
        <w:pStyle w:val="null3"/>
      </w:pPr>
      <w:r>
        <w:rPr/>
        <w:t>1、营业执照 等主体资 格证明文件：具有独立承担民事责任能力的法人或其他组织，提供有效存续的营业执照或事业单位法人证书或非企业专业服务机构执业许可证或民办非企业单位登记证书或自然人的身份证明；供应商需在项目电子化交易系统中按要求上传相应证明文件并进行电子签章。</w:t>
      </w:r>
    </w:p>
    <w:p>
      <w:pPr>
        <w:pStyle w:val="null3"/>
      </w:pPr>
      <w:r>
        <w:rPr/>
        <w:t>2、税收缴纳证明：提供已缴纳的2023年1月至今任意一个月的纳税证明或完 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t>3、社会保障资金缴纳证明：提供已缴存的2023年1月至今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t>4、无重大违法记录书面声明：供应商须出具参加本次政府采购活动前三年内在经营活动中没有重大违法记录的书面声明；供应商需在项目电子化交易系统中按要求上传相应证明文件并进行电子签章。</w:t>
      </w:r>
    </w:p>
    <w:p>
      <w:pPr>
        <w:pStyle w:val="null3"/>
      </w:pPr>
      <w:r>
        <w:rPr/>
        <w:t>5、具有履行合同所必需的设备和专业技术能力：供应商须提供具有履行合同所必需的设备和专业技术能力的承诺；供应商需在项目电子化交易系统中按要求上传相应证明文件并进行电子签章。</w:t>
      </w:r>
    </w:p>
    <w:p>
      <w:pPr>
        <w:pStyle w:val="null3"/>
      </w:pPr>
      <w:r>
        <w:rPr/>
        <w:t>6、法人身份证明或法人授权书：法定代表人参加投标的提供法定代表人身份证明及身份证 ，委托代理人参加投标的提供授权委托书及委托代理人身份证； 自然人只需提供身份证；备注：分支机构由分支机构负责人授权即可；供应商需在项目电子化交易系统中按要求上传相应证明文件并进行电子签章。</w:t>
      </w:r>
    </w:p>
    <w:p>
      <w:pPr>
        <w:pStyle w:val="null3"/>
      </w:pPr>
      <w:r>
        <w:rPr/>
        <w:t>7、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铜川市农业科学研究所</w:t>
      </w:r>
    </w:p>
    <w:p>
      <w:pPr>
        <w:pStyle w:val="null3"/>
      </w:pPr>
      <w:r>
        <w:rPr/>
        <w:t xml:space="preserve"> 地址： </w:t>
      </w:r>
      <w:r>
        <w:rPr/>
        <w:t>铜川市耀州区长丰路</w:t>
      </w:r>
    </w:p>
    <w:p>
      <w:pPr>
        <w:pStyle w:val="null3"/>
      </w:pPr>
      <w:r>
        <w:rPr/>
        <w:t xml:space="preserve"> 邮编： </w:t>
      </w:r>
      <w:r>
        <w:rPr/>
        <w:t>727031</w:t>
      </w:r>
    </w:p>
    <w:p>
      <w:pPr>
        <w:pStyle w:val="null3"/>
      </w:pPr>
      <w:r>
        <w:rPr/>
        <w:t xml:space="preserve"> 联系人： </w:t>
      </w:r>
      <w:r>
        <w:rPr/>
        <w:t>佘小林</w:t>
      </w:r>
    </w:p>
    <w:p>
      <w:pPr>
        <w:pStyle w:val="null3"/>
      </w:pPr>
      <w:r>
        <w:rPr/>
        <w:t xml:space="preserve"> 联系电话： </w:t>
      </w:r>
      <w:r>
        <w:rPr/>
        <w:t>17899198766</w:t>
      </w:r>
    </w:p>
    <w:p>
      <w:pPr>
        <w:pStyle w:val="null3"/>
        <w:outlineLvl w:val="2"/>
      </w:pPr>
      <w:r>
        <w:rPr>
          <w:sz w:val="28"/>
          <w:b/>
        </w:rPr>
        <w:t>代理机构：</w:t>
      </w:r>
      <w:r>
        <w:rPr>
          <w:sz w:val="28"/>
          <w:b/>
        </w:rPr>
        <w:t>华兴天成项目咨询有限公司</w:t>
      </w:r>
    </w:p>
    <w:p>
      <w:pPr>
        <w:pStyle w:val="null3"/>
      </w:pPr>
      <w:r>
        <w:rPr/>
        <w:t xml:space="preserve"> 地址： </w:t>
      </w:r>
      <w:r>
        <w:rPr/>
        <w:t>陕西省西安市高新区唐延路11号禾盛京广中心B座14层1403室</w:t>
      </w:r>
    </w:p>
    <w:p>
      <w:pPr>
        <w:pStyle w:val="null3"/>
      </w:pPr>
      <w:r>
        <w:rPr/>
        <w:t xml:space="preserve"> 邮编： </w:t>
      </w:r>
      <w:r>
        <w:rPr/>
        <w:t>710076</w:t>
      </w:r>
    </w:p>
    <w:p>
      <w:pPr>
        <w:pStyle w:val="null3"/>
      </w:pPr>
      <w:r>
        <w:rPr/>
        <w:t xml:space="preserve"> 联系人： </w:t>
      </w:r>
      <w:r>
        <w:rPr/>
        <w:t>陈晨</w:t>
      </w:r>
    </w:p>
    <w:p>
      <w:pPr>
        <w:pStyle w:val="null3"/>
      </w:pPr>
      <w:r>
        <w:rPr/>
        <w:t xml:space="preserve"> 联系电话： </w:t>
      </w:r>
      <w:r>
        <w:rPr/>
        <w:t>18149038707</w:t>
      </w:r>
    </w:p>
    <w:p>
      <w:pPr>
        <w:pStyle w:val="null3"/>
        <w:outlineLvl w:val="2"/>
      </w:pPr>
      <w:r>
        <w:rPr>
          <w:sz w:val="28"/>
          <w:b/>
        </w:rPr>
        <w:t>采购监督机构：</w:t>
      </w:r>
      <w:r>
        <w:rPr>
          <w:sz w:val="28"/>
          <w:b/>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采购包1：1,797,600.00元</w:t>
            </w:r>
          </w:p>
          <w:p>
            <w:pPr>
              <w:pStyle w:val="null3"/>
            </w:pPr>
            <w:r>
              <w:rPr/>
              <w:t>采购包2：281,400.00元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代理服务费收费标准：代理服务费用收取对象：中标/成交供应商 代理服务费收费标准：由成交供应商支付采购代理服务费，成交供应商在领取《成交通知书》 之前，应向采购代理机构交纳采购代理服务费。 采购代理服务费依据《国家计委关于印 发招标代理服务收费管理暂行办法的通知》（计价格【2002】1980号）和《关于进一步放开 建设项目专项业务服务价格的通知》（发改价格【2015】299号）规定收取。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铜川市农业科学研究所</w:t>
      </w:r>
      <w:r>
        <w:rPr/>
        <w:t>和</w:t>
      </w:r>
      <w:r>
        <w:rPr/>
        <w:t>华兴天成项目咨询有限公司</w:t>
      </w:r>
      <w:r>
        <w:rPr/>
        <w:t>享有。对招标文件中供应商参加本次政府采购活动应当具备的条件，招标项目技术、服务、商务及其他要求，评标细则及标准由</w:t>
      </w:r>
      <w:r>
        <w:rPr/>
        <w:t>铜川市农业科学研究所</w:t>
      </w:r>
      <w:r>
        <w:rPr/>
        <w:t>负责解释。除上述招标文件内容，其他内容由</w:t>
      </w:r>
      <w:r>
        <w:rPr/>
        <w:t>华兴天成项目咨询有限公司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铜川市农业科学研究所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华兴天成项目咨询有限公司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w:t>
      </w:r>
    </w:p>
    <w:p>
      <w:pPr>
        <w:pStyle w:val="null3"/>
      </w:pPr>
      <w:r>
        <w:rPr/>
        <w:t>采购包2：</w:t>
      </w:r>
    </w:p>
    <w:p>
      <w:pPr>
        <w:pStyle w:val="null3"/>
      </w:pPr>
      <w:r>
        <w:rPr/>
        <w:t>/</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华兴天成项目咨询有限公司</w:t>
      </w:r>
      <w:r>
        <w:rPr/>
        <w:t xml:space="preserve"> 负责答复；供应商对除采购需求外的采购文件的询问、质疑由</w:t>
      </w:r>
      <w:r>
        <w:rPr/>
        <w:t>华兴天成项目咨询有限公司</w:t>
      </w:r>
      <w:r>
        <w:rPr/>
        <w:t xml:space="preserve"> 负责答复；供应商对采购过程、采购结果的询问、质疑由 </w:t>
      </w:r>
      <w:r>
        <w:rPr/>
        <w:t>华兴天成项目咨询有限公司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联系人：陈晨</w:t>
      </w:r>
    </w:p>
    <w:p>
      <w:pPr>
        <w:pStyle w:val="null3"/>
      </w:pPr>
      <w:r>
        <w:rPr/>
        <w:t>联系电话：18149038707</w:t>
      </w:r>
    </w:p>
    <w:p>
      <w:pPr>
        <w:pStyle w:val="null3"/>
      </w:pPr>
      <w:r>
        <w:rPr/>
        <w:t>地址：陕西省西安市高新区唐延路11号禾盛京广中心B座14层1403室</w:t>
      </w:r>
    </w:p>
    <w:p>
      <w:pPr>
        <w:pStyle w:val="null3"/>
      </w:pPr>
      <w:r>
        <w:rPr/>
        <w:t>邮编：710076</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采购加厚高强度地膜（反光）、全生物降解地膜、高强度地膜。</w:t>
      </w:r>
    </w:p>
    <w:p>
      <w:pPr>
        <w:pStyle w:val="null3"/>
        <w:outlineLvl w:val="2"/>
      </w:pPr>
      <w:r>
        <w:rPr>
          <w:sz w:val="28"/>
          <w:b/>
        </w:rPr>
        <w:t>3.2采购内容</w:t>
      </w:r>
    </w:p>
    <w:p>
      <w:pPr>
        <w:pStyle w:val="null3"/>
      </w:pPr>
      <w:r>
        <w:rPr/>
        <w:t>采购包1：</w:t>
      </w:r>
    </w:p>
    <w:p>
      <w:pPr>
        <w:pStyle w:val="null3"/>
      </w:pPr>
      <w:r>
        <w:rPr/>
        <w:t>采购包预算金额（元）: 1,797,600.00</w:t>
      </w:r>
    </w:p>
    <w:p>
      <w:pPr>
        <w:pStyle w:val="null3"/>
      </w:pPr>
      <w:r>
        <w:rPr/>
        <w:t>采购包最高限价（元）: 1,797,600.00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加厚高强度地膜（反光）</w:t>
            </w:r>
          </w:p>
        </w:tc>
        <w:tc>
          <w:tcPr>
            <w:tcW w:type="dxa" w:w="831"/>
          </w:tcPr>
          <w:p>
            <w:pPr>
              <w:pStyle w:val="null3"/>
              <w:jc w:val="right"/>
            </w:pPr>
            <w:r>
              <w:rPr/>
              <w:t>119.84</w:t>
            </w:r>
          </w:p>
        </w:tc>
        <w:tc>
          <w:tcPr>
            <w:tcW w:type="dxa" w:w="831"/>
          </w:tcPr>
          <w:p>
            <w:pPr>
              <w:pStyle w:val="null3"/>
              <w:jc w:val="right"/>
            </w:pPr>
            <w:r>
              <w:rPr/>
              <w:t>1,797,600.00</w:t>
            </w:r>
          </w:p>
        </w:tc>
        <w:tc>
          <w:tcPr>
            <w:tcW w:type="dxa" w:w="831"/>
          </w:tcPr>
          <w:p>
            <w:pPr>
              <w:pStyle w:val="null3"/>
            </w:pPr>
            <w:r>
              <w:rPr/>
              <w:t>吨</w:t>
            </w:r>
          </w:p>
        </w:tc>
        <w:tc>
          <w:tcPr>
            <w:tcW w:type="dxa" w:w="831"/>
          </w:tcPr>
          <w:p>
            <w:pPr>
              <w:pStyle w:val="null3"/>
            </w:pPr>
            <w:r>
              <w:rPr/>
              <w:t>零售业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281,400.00</w:t>
      </w:r>
    </w:p>
    <w:p>
      <w:pPr>
        <w:pStyle w:val="null3"/>
      </w:pPr>
      <w:r>
        <w:rPr/>
        <w:t>采购包最高限价（元）: 281,400.00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全生物降解地膜</w:t>
            </w:r>
          </w:p>
        </w:tc>
        <w:tc>
          <w:tcPr>
            <w:tcW w:type="dxa" w:w="831"/>
          </w:tcPr>
          <w:p>
            <w:pPr>
              <w:pStyle w:val="null3"/>
              <w:jc w:val="right"/>
            </w:pPr>
            <w:r>
              <w:rPr/>
              <w:t>9.58</w:t>
            </w:r>
          </w:p>
        </w:tc>
        <w:tc>
          <w:tcPr>
            <w:tcW w:type="dxa" w:w="831"/>
          </w:tcPr>
          <w:p>
            <w:pPr>
              <w:pStyle w:val="null3"/>
              <w:jc w:val="right"/>
            </w:pPr>
            <w:r>
              <w:rPr/>
              <w:t>239,400.00</w:t>
            </w:r>
          </w:p>
        </w:tc>
        <w:tc>
          <w:tcPr>
            <w:tcW w:type="dxa" w:w="831"/>
          </w:tcPr>
          <w:p>
            <w:pPr>
              <w:pStyle w:val="null3"/>
            </w:pPr>
            <w:r>
              <w:rPr/>
              <w:t>吨</w:t>
            </w:r>
          </w:p>
        </w:tc>
        <w:tc>
          <w:tcPr>
            <w:tcW w:type="dxa" w:w="831"/>
          </w:tcPr>
          <w:p>
            <w:pPr>
              <w:pStyle w:val="null3"/>
            </w:pPr>
            <w:r>
              <w:rPr/>
              <w:t>零售业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高强度地膜</w:t>
            </w:r>
          </w:p>
        </w:tc>
        <w:tc>
          <w:tcPr>
            <w:tcW w:type="dxa" w:w="831"/>
          </w:tcPr>
          <w:p>
            <w:pPr>
              <w:pStyle w:val="null3"/>
              <w:jc w:val="right"/>
            </w:pPr>
            <w:r>
              <w:rPr/>
              <w:t>3.36</w:t>
            </w:r>
          </w:p>
        </w:tc>
        <w:tc>
          <w:tcPr>
            <w:tcW w:type="dxa" w:w="831"/>
          </w:tcPr>
          <w:p>
            <w:pPr>
              <w:pStyle w:val="null3"/>
              <w:jc w:val="right"/>
            </w:pPr>
            <w:r>
              <w:rPr/>
              <w:t>42,000.00</w:t>
            </w:r>
          </w:p>
        </w:tc>
        <w:tc>
          <w:tcPr>
            <w:tcW w:type="dxa" w:w="831"/>
          </w:tcPr>
          <w:p>
            <w:pPr>
              <w:pStyle w:val="null3"/>
            </w:pPr>
            <w:r>
              <w:rPr/>
              <w:t>吨</w:t>
            </w:r>
          </w:p>
        </w:tc>
        <w:tc>
          <w:tcPr>
            <w:tcW w:type="dxa" w:w="831"/>
          </w:tcPr>
          <w:p>
            <w:pPr>
              <w:pStyle w:val="null3"/>
            </w:pPr>
            <w:r>
              <w:rPr/>
              <w:t>零售业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标的名称：加厚高强度地膜（反光）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center"/>
            </w:pPr>
            <w:r>
              <w:rPr>
                <w:rFonts w:ascii="宋体" w:hAnsi="宋体" w:cs="宋体" w:eastAsia="宋体"/>
                <w:sz w:val="40"/>
                <w:b/>
              </w:rPr>
              <w:t>加厚高强度</w:t>
            </w:r>
            <w:r>
              <w:rPr>
                <w:rFonts w:ascii="宋体" w:hAnsi="宋体" w:cs="宋体" w:eastAsia="宋体"/>
                <w:sz w:val="40"/>
                <w:b/>
              </w:rPr>
              <w:t>反光</w:t>
            </w:r>
            <w:r>
              <w:rPr>
                <w:rFonts w:ascii="宋体" w:hAnsi="宋体" w:cs="宋体" w:eastAsia="宋体"/>
                <w:sz w:val="40"/>
                <w:b/>
              </w:rPr>
              <w:t>膜参数要求</w:t>
            </w:r>
          </w:p>
          <w:p>
            <w:pPr>
              <w:pStyle w:val="null3"/>
              <w:jc w:val="left"/>
            </w:pPr>
            <w:r>
              <w:rPr>
                <w:rFonts w:ascii="calibri" w:hAnsi="calibri" w:cs="calibri" w:eastAsia="calibri"/>
                <w:sz w:val="28"/>
              </w:rPr>
              <w:t>1</w:t>
            </w:r>
            <w:r>
              <w:rPr>
                <w:rFonts w:ascii="宋体" w:hAnsi="宋体" w:cs="宋体" w:eastAsia="宋体"/>
                <w:sz w:val="28"/>
              </w:rPr>
              <w:t>、执行标准：</w:t>
            </w:r>
            <w:r>
              <w:rPr>
                <w:rFonts w:ascii="calibri" w:hAnsi="calibri" w:cs="calibri" w:eastAsia="calibri"/>
                <w:sz w:val="28"/>
              </w:rPr>
              <w:t>GB/T0030-2019</w:t>
            </w:r>
            <w:r>
              <w:rPr>
                <w:rFonts w:ascii="宋体" w:hAnsi="宋体" w:cs="宋体" w:eastAsia="宋体"/>
                <w:sz w:val="28"/>
              </w:rPr>
              <w:t>；</w:t>
            </w:r>
          </w:p>
          <w:p>
            <w:pPr>
              <w:pStyle w:val="null3"/>
              <w:jc w:val="left"/>
            </w:pPr>
            <w:r>
              <w:rPr>
                <w:rFonts w:ascii="calibri" w:hAnsi="calibri" w:cs="calibri" w:eastAsia="calibri"/>
                <w:sz w:val="28"/>
              </w:rPr>
              <w:t>2</w:t>
            </w:r>
            <w:r>
              <w:rPr>
                <w:rFonts w:ascii="宋体" w:hAnsi="宋体" w:cs="宋体" w:eastAsia="宋体"/>
                <w:sz w:val="28"/>
              </w:rPr>
              <w:t>、聚脂镀铝膜；</w:t>
            </w:r>
          </w:p>
          <w:p>
            <w:pPr>
              <w:pStyle w:val="null3"/>
              <w:jc w:val="left"/>
            </w:pPr>
            <w:r>
              <w:rPr>
                <w:rFonts w:ascii="calibri" w:hAnsi="calibri" w:cs="calibri" w:eastAsia="calibri"/>
                <w:sz w:val="28"/>
              </w:rPr>
              <w:t>3</w:t>
            </w:r>
            <w:r>
              <w:rPr>
                <w:rFonts w:ascii="宋体" w:hAnsi="宋体" w:cs="宋体" w:eastAsia="宋体"/>
                <w:sz w:val="28"/>
              </w:rPr>
              <w:t>、颜色：银色；</w:t>
            </w:r>
          </w:p>
          <w:p>
            <w:pPr>
              <w:pStyle w:val="null3"/>
              <w:jc w:val="left"/>
            </w:pPr>
            <w:r>
              <w:rPr>
                <w:rFonts w:ascii="calibri" w:hAnsi="calibri" w:cs="calibri" w:eastAsia="calibri"/>
                <w:sz w:val="28"/>
              </w:rPr>
              <w:t>4</w:t>
            </w:r>
            <w:r>
              <w:rPr>
                <w:rFonts w:ascii="宋体" w:hAnsi="宋体" w:cs="宋体" w:eastAsia="宋体"/>
                <w:sz w:val="28"/>
              </w:rPr>
              <w:t>、厚度：</w:t>
            </w:r>
            <w:r>
              <w:rPr>
                <w:rFonts w:ascii="calibri" w:hAnsi="calibri" w:cs="calibri" w:eastAsia="calibri"/>
                <w:sz w:val="28"/>
              </w:rPr>
              <w:t>0.015</w:t>
            </w:r>
            <w:r>
              <w:rPr>
                <w:rFonts w:ascii="宋体" w:hAnsi="宋体" w:cs="宋体" w:eastAsia="宋体"/>
                <w:sz w:val="28"/>
              </w:rPr>
              <w:t>㎜，厚度偏差</w:t>
            </w:r>
            <w:r>
              <w:rPr>
                <w:rFonts w:ascii="calibri" w:hAnsi="calibri" w:cs="calibri" w:eastAsia="calibri"/>
                <w:sz w:val="28"/>
              </w:rPr>
              <w:t xml:space="preserve">+0.003 </w:t>
            </w:r>
            <w:r>
              <w:rPr>
                <w:rFonts w:ascii="宋体" w:hAnsi="宋体" w:cs="宋体" w:eastAsia="宋体"/>
                <w:sz w:val="28"/>
              </w:rPr>
              <w:t>㎜；</w:t>
            </w:r>
            <w:r>
              <w:rPr>
                <w:rFonts w:ascii="calibri" w:hAnsi="calibri" w:cs="calibri" w:eastAsia="calibri"/>
                <w:sz w:val="28"/>
              </w:rPr>
              <w:t>-0.002</w:t>
            </w:r>
            <w:r>
              <w:rPr>
                <w:rFonts w:ascii="宋体" w:hAnsi="宋体" w:cs="宋体" w:eastAsia="宋体"/>
                <w:sz w:val="28"/>
              </w:rPr>
              <w:t>㎜；</w:t>
            </w:r>
          </w:p>
          <w:p>
            <w:pPr>
              <w:pStyle w:val="null3"/>
              <w:jc w:val="left"/>
            </w:pPr>
            <w:r>
              <w:rPr>
                <w:rFonts w:ascii="calibri" w:hAnsi="calibri" w:cs="calibri" w:eastAsia="calibri"/>
                <w:sz w:val="28"/>
              </w:rPr>
              <w:t>5</w:t>
            </w:r>
            <w:r>
              <w:rPr>
                <w:rFonts w:ascii="宋体" w:hAnsi="宋体" w:cs="宋体" w:eastAsia="宋体"/>
                <w:sz w:val="28"/>
              </w:rPr>
              <w:t>、宽度：</w:t>
            </w:r>
            <w:r>
              <w:rPr>
                <w:rFonts w:ascii="calibri" w:hAnsi="calibri" w:cs="calibri" w:eastAsia="calibri"/>
                <w:sz w:val="28"/>
              </w:rPr>
              <w:t xml:space="preserve">1000 </w:t>
            </w:r>
            <w:r>
              <w:rPr>
                <w:rFonts w:ascii="宋体" w:hAnsi="宋体" w:cs="宋体" w:eastAsia="宋体"/>
                <w:sz w:val="28"/>
              </w:rPr>
              <w:t>㎜；宽度极限偏差</w:t>
            </w:r>
            <w:r>
              <w:rPr>
                <w:rFonts w:ascii="calibri" w:hAnsi="calibri" w:cs="calibri" w:eastAsia="calibri"/>
                <w:sz w:val="28"/>
              </w:rPr>
              <w:t>+40</w:t>
            </w:r>
            <w:r>
              <w:rPr>
                <w:rFonts w:ascii="宋体" w:hAnsi="宋体" w:cs="宋体" w:eastAsia="宋体"/>
                <w:sz w:val="28"/>
              </w:rPr>
              <w:t>㎜</w:t>
            </w:r>
            <w:r>
              <w:rPr>
                <w:rFonts w:ascii="calibri" w:hAnsi="calibri" w:cs="calibri" w:eastAsia="calibri"/>
                <w:sz w:val="28"/>
              </w:rPr>
              <w:t xml:space="preserve">;-10 </w:t>
            </w:r>
            <w:r>
              <w:rPr>
                <w:rFonts w:ascii="宋体" w:hAnsi="宋体" w:cs="宋体" w:eastAsia="宋体"/>
                <w:sz w:val="28"/>
              </w:rPr>
              <w:t>㎜；</w:t>
            </w:r>
          </w:p>
          <w:p>
            <w:pPr>
              <w:pStyle w:val="null3"/>
              <w:jc w:val="left"/>
            </w:pPr>
            <w:r>
              <w:rPr>
                <w:rFonts w:ascii="宋体" w:hAnsi="宋体" w:cs="宋体" w:eastAsia="宋体"/>
                <w:sz w:val="28"/>
              </w:rPr>
              <w:t xml:space="preserve">      </w:t>
            </w:r>
            <w:r>
              <w:rPr>
                <w:rFonts w:ascii="calibri" w:hAnsi="calibri" w:cs="calibri" w:eastAsia="calibri"/>
                <w:sz w:val="28"/>
              </w:rPr>
              <w:t xml:space="preserve">1200 </w:t>
            </w:r>
            <w:r>
              <w:rPr>
                <w:rFonts w:ascii="宋体" w:hAnsi="宋体" w:cs="宋体" w:eastAsia="宋体"/>
                <w:sz w:val="28"/>
              </w:rPr>
              <w:t>㎜；宽度极限偏差</w:t>
            </w:r>
            <w:r>
              <w:rPr>
                <w:rFonts w:ascii="calibri" w:hAnsi="calibri" w:cs="calibri" w:eastAsia="calibri"/>
                <w:sz w:val="28"/>
              </w:rPr>
              <w:t>+40</w:t>
            </w:r>
            <w:r>
              <w:rPr>
                <w:rFonts w:ascii="宋体" w:hAnsi="宋体" w:cs="宋体" w:eastAsia="宋体"/>
                <w:sz w:val="28"/>
              </w:rPr>
              <w:t>㎜</w:t>
            </w:r>
            <w:r>
              <w:rPr>
                <w:rFonts w:ascii="calibri" w:hAnsi="calibri" w:cs="calibri" w:eastAsia="calibri"/>
                <w:sz w:val="28"/>
              </w:rPr>
              <w:t xml:space="preserve">;-10 </w:t>
            </w:r>
            <w:r>
              <w:rPr>
                <w:rFonts w:ascii="宋体" w:hAnsi="宋体" w:cs="宋体" w:eastAsia="宋体"/>
                <w:sz w:val="28"/>
              </w:rPr>
              <w:t>㎜；</w:t>
            </w:r>
          </w:p>
          <w:p>
            <w:pPr>
              <w:pStyle w:val="null3"/>
              <w:jc w:val="left"/>
            </w:pPr>
            <w:r>
              <w:rPr>
                <w:rFonts w:ascii="宋体" w:hAnsi="宋体" w:cs="宋体" w:eastAsia="宋体"/>
                <w:sz w:val="28"/>
              </w:rPr>
              <w:t xml:space="preserve">     </w:t>
            </w:r>
            <w:r>
              <w:rPr>
                <w:rFonts w:ascii="calibri" w:hAnsi="calibri" w:cs="calibri" w:eastAsia="calibri"/>
                <w:sz w:val="28"/>
              </w:rPr>
              <w:t xml:space="preserve">1500 </w:t>
            </w:r>
            <w:r>
              <w:rPr>
                <w:rFonts w:ascii="宋体" w:hAnsi="宋体" w:cs="宋体" w:eastAsia="宋体"/>
                <w:sz w:val="28"/>
              </w:rPr>
              <w:t>㎜；宽度极限偏差</w:t>
            </w:r>
            <w:r>
              <w:rPr>
                <w:rFonts w:ascii="calibri" w:hAnsi="calibri" w:cs="calibri" w:eastAsia="calibri"/>
                <w:sz w:val="28"/>
              </w:rPr>
              <w:t>+40</w:t>
            </w:r>
            <w:r>
              <w:rPr>
                <w:rFonts w:ascii="宋体" w:hAnsi="宋体" w:cs="宋体" w:eastAsia="宋体"/>
                <w:sz w:val="28"/>
              </w:rPr>
              <w:t>㎜</w:t>
            </w:r>
            <w:r>
              <w:rPr>
                <w:rFonts w:ascii="calibri" w:hAnsi="calibri" w:cs="calibri" w:eastAsia="calibri"/>
                <w:sz w:val="28"/>
              </w:rPr>
              <w:t xml:space="preserve">;-10 </w:t>
            </w:r>
            <w:r>
              <w:rPr>
                <w:rFonts w:ascii="宋体" w:hAnsi="宋体" w:cs="宋体" w:eastAsia="宋体"/>
                <w:sz w:val="28"/>
              </w:rPr>
              <w:t>㎜；</w:t>
            </w:r>
          </w:p>
          <w:p>
            <w:pPr>
              <w:pStyle w:val="null3"/>
              <w:jc w:val="left"/>
            </w:pPr>
            <w:r>
              <w:rPr>
                <w:rFonts w:ascii="calibri" w:hAnsi="calibri" w:cs="calibri" w:eastAsia="calibri"/>
                <w:sz w:val="28"/>
              </w:rPr>
              <w:t>6</w:t>
            </w:r>
            <w:r>
              <w:rPr>
                <w:rFonts w:ascii="宋体" w:hAnsi="宋体" w:cs="宋体" w:eastAsia="宋体"/>
                <w:sz w:val="28"/>
              </w:rPr>
              <w:t>、外观：地膜不应有影响使用的气泡、杂质、条纹、穿孔、褶皱等缺陷。膜卷应卷绕整齐，不应有明显的暴筋，膜卷宽度与膜的公称宽度相差的卷取宽度错位应≤</w:t>
            </w:r>
            <w:r>
              <w:rPr>
                <w:rFonts w:ascii="calibri" w:hAnsi="calibri" w:cs="calibri" w:eastAsia="calibri"/>
                <w:sz w:val="28"/>
              </w:rPr>
              <w:t xml:space="preserve">30 </w:t>
            </w:r>
            <w:r>
              <w:rPr>
                <w:rFonts w:ascii="宋体" w:hAnsi="宋体" w:cs="宋体" w:eastAsia="宋体"/>
                <w:sz w:val="28"/>
              </w:rPr>
              <w:t>㎜，每卷段数≤</w:t>
            </w:r>
            <w:r>
              <w:rPr>
                <w:rFonts w:ascii="calibri" w:hAnsi="calibri" w:cs="calibri" w:eastAsia="calibri"/>
                <w:sz w:val="28"/>
              </w:rPr>
              <w:t xml:space="preserve">2 </w:t>
            </w:r>
            <w:r>
              <w:rPr>
                <w:rFonts w:ascii="宋体" w:hAnsi="宋体" w:cs="宋体" w:eastAsia="宋体"/>
                <w:sz w:val="28"/>
              </w:rPr>
              <w:t>段，每段长度≥</w:t>
            </w:r>
            <w:r>
              <w:rPr>
                <w:rFonts w:ascii="calibri" w:hAnsi="calibri" w:cs="calibri" w:eastAsia="calibri"/>
                <w:sz w:val="28"/>
              </w:rPr>
              <w:t>100m</w:t>
            </w:r>
            <w:r>
              <w:rPr>
                <w:rFonts w:ascii="宋体" w:hAnsi="宋体" w:cs="宋体" w:eastAsia="宋体"/>
                <w:sz w:val="28"/>
              </w:rPr>
              <w:t>；</w:t>
            </w:r>
          </w:p>
          <w:p>
            <w:pPr>
              <w:pStyle w:val="null3"/>
              <w:jc w:val="left"/>
            </w:pPr>
            <w:r>
              <w:rPr>
                <w:rFonts w:ascii="calibri" w:hAnsi="calibri" w:cs="calibri" w:eastAsia="calibri"/>
                <w:sz w:val="28"/>
              </w:rPr>
              <w:t>7</w:t>
            </w:r>
            <w:r>
              <w:rPr>
                <w:rFonts w:ascii="宋体" w:hAnsi="宋体" w:cs="宋体" w:eastAsia="宋体"/>
                <w:sz w:val="28"/>
              </w:rPr>
              <w:t>、物理机械性能：拉伸强度：纵向≥</w:t>
            </w:r>
            <w:r>
              <w:rPr>
                <w:rFonts w:ascii="calibri" w:hAnsi="calibri" w:cs="calibri" w:eastAsia="calibri"/>
                <w:sz w:val="28"/>
              </w:rPr>
              <w:t>170MPA</w:t>
            </w:r>
            <w:r>
              <w:rPr>
                <w:rFonts w:ascii="宋体" w:hAnsi="宋体" w:cs="宋体" w:eastAsia="宋体"/>
                <w:sz w:val="28"/>
              </w:rPr>
              <w:t>，横向≥</w:t>
            </w:r>
            <w:r>
              <w:rPr>
                <w:rFonts w:ascii="calibri" w:hAnsi="calibri" w:cs="calibri" w:eastAsia="calibri"/>
                <w:sz w:val="28"/>
              </w:rPr>
              <w:t>170MPA</w:t>
            </w:r>
            <w:r>
              <w:rPr>
                <w:rFonts w:ascii="宋体" w:hAnsi="宋体" w:cs="宋体" w:eastAsia="宋体"/>
                <w:sz w:val="28"/>
              </w:rPr>
              <w:t>；断裂伸长率：纵向≦</w:t>
            </w:r>
            <w:r>
              <w:rPr>
                <w:rFonts w:ascii="calibri" w:hAnsi="calibri" w:cs="calibri" w:eastAsia="calibri"/>
                <w:sz w:val="28"/>
              </w:rPr>
              <w:t>200%</w:t>
            </w:r>
            <w:r>
              <w:rPr>
                <w:rFonts w:ascii="宋体" w:hAnsi="宋体" w:cs="宋体" w:eastAsia="宋体"/>
                <w:sz w:val="28"/>
              </w:rPr>
              <w:t>，横向≦</w:t>
            </w:r>
            <w:r>
              <w:rPr>
                <w:rFonts w:ascii="calibri" w:hAnsi="calibri" w:cs="calibri" w:eastAsia="calibri"/>
                <w:sz w:val="28"/>
              </w:rPr>
              <w:t>200%</w:t>
            </w:r>
            <w:r>
              <w:rPr>
                <w:rFonts w:ascii="宋体" w:hAnsi="宋体" w:cs="宋体" w:eastAsia="宋体"/>
                <w:sz w:val="28"/>
              </w:rPr>
              <w:t>；；</w:t>
            </w:r>
          </w:p>
          <w:p>
            <w:pPr>
              <w:pStyle w:val="null3"/>
              <w:jc w:val="left"/>
            </w:pPr>
            <w:r>
              <w:rPr>
                <w:rFonts w:ascii="calibri" w:hAnsi="calibri" w:cs="calibri" w:eastAsia="calibri"/>
                <w:sz w:val="28"/>
              </w:rPr>
              <w:t>8</w:t>
            </w:r>
            <w:r>
              <w:rPr>
                <w:rFonts w:ascii="宋体" w:hAnsi="宋体" w:cs="宋体" w:eastAsia="宋体"/>
                <w:sz w:val="28"/>
              </w:rPr>
              <w:t>、包装及规格：</w:t>
            </w:r>
            <w:r>
              <w:rPr>
                <w:rFonts w:ascii="calibri" w:hAnsi="calibri" w:cs="calibri" w:eastAsia="calibri"/>
                <w:sz w:val="28"/>
              </w:rPr>
              <w:t xml:space="preserve">5 </w:t>
            </w:r>
            <w:r>
              <w:rPr>
                <w:rFonts w:ascii="宋体" w:hAnsi="宋体" w:cs="宋体" w:eastAsia="宋体"/>
                <w:sz w:val="28"/>
              </w:rPr>
              <w:t>公斤包装（每卷净质量偏差</w:t>
            </w:r>
            <w:r>
              <w:rPr>
                <w:rFonts w:ascii="calibri" w:hAnsi="calibri" w:cs="calibri" w:eastAsia="calibri"/>
                <w:sz w:val="28"/>
              </w:rPr>
              <w:t>+0.25</w:t>
            </w:r>
            <w:r>
              <w:rPr>
                <w:rFonts w:ascii="宋体" w:hAnsi="宋体" w:cs="宋体" w:eastAsia="宋体"/>
                <w:sz w:val="28"/>
              </w:rPr>
              <w:t>；</w:t>
            </w:r>
            <w:r>
              <w:rPr>
                <w:rFonts w:ascii="calibri" w:hAnsi="calibri" w:cs="calibri" w:eastAsia="calibri"/>
                <w:sz w:val="28"/>
              </w:rPr>
              <w:t>-0.10kg</w:t>
            </w:r>
            <w:r>
              <w:rPr>
                <w:rFonts w:ascii="宋体" w:hAnsi="宋体" w:cs="宋体" w:eastAsia="宋体"/>
                <w:sz w:val="28"/>
              </w:rPr>
              <w:t>），每卷膜的内包装应附产品合格证，内容包括产品名称、类别、宽度、厚度、长度、净质量、批号、质量等级、生产日期、生产厂名、生产厂地址、标准号、检验员章。每卷膜的外包装应在明显的位置标有“使用后请回收利用，减少环境污染”及“政府采购地膜”字样。提供相关证明材料（包含但不限于半年内有效的第三方检验报告等）</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标的名称：全生物降解地膜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center"/>
            </w:pPr>
            <w:r>
              <w:rPr>
                <w:rFonts w:ascii="宋体" w:hAnsi="宋体" w:cs="宋体" w:eastAsia="宋体"/>
                <w:sz w:val="40"/>
                <w:b/>
              </w:rPr>
              <w:t>全生物降解农用地面覆盖薄膜</w:t>
            </w:r>
            <w:r>
              <w:rPr>
                <w:rFonts w:ascii="宋体" w:hAnsi="宋体" w:cs="宋体" w:eastAsia="宋体"/>
                <w:sz w:val="40"/>
                <w:b/>
              </w:rPr>
              <w:t>参数要求</w:t>
            </w:r>
          </w:p>
          <w:p>
            <w:pPr>
              <w:pStyle w:val="null3"/>
              <w:jc w:val="left"/>
            </w:pPr>
            <w:r>
              <w:rPr>
                <w:rFonts w:ascii="calibri" w:hAnsi="calibri" w:cs="calibri" w:eastAsia="calibri"/>
                <w:sz w:val="28"/>
              </w:rPr>
              <w:t>7</w:t>
            </w:r>
            <w:r>
              <w:rPr>
                <w:rFonts w:ascii="calibri" w:hAnsi="calibri" w:cs="calibri" w:eastAsia="calibri"/>
                <w:sz w:val="28"/>
              </w:rPr>
              <w:t>00mmx0.0</w:t>
            </w:r>
            <w:r>
              <w:rPr>
                <w:rFonts w:ascii="calibri" w:hAnsi="calibri" w:cs="calibri" w:eastAsia="calibri"/>
                <w:sz w:val="28"/>
              </w:rPr>
              <w:t>08</w:t>
            </w:r>
            <w:r>
              <w:rPr>
                <w:rFonts w:ascii="calibri" w:hAnsi="calibri" w:cs="calibri" w:eastAsia="calibri"/>
                <w:sz w:val="28"/>
              </w:rPr>
              <w:t>mmx</w:t>
            </w:r>
            <w:r>
              <w:rPr>
                <w:rFonts w:ascii="calibri" w:hAnsi="calibri" w:cs="calibri" w:eastAsia="calibri"/>
                <w:sz w:val="28"/>
              </w:rPr>
              <w:t>10kg</w:t>
            </w:r>
            <w:r>
              <w:rPr>
                <w:rFonts w:ascii="宋体" w:hAnsi="宋体" w:cs="宋体" w:eastAsia="宋体"/>
                <w:sz w:val="28"/>
              </w:rPr>
              <w:t>全生物降解农用地面覆盖薄膜</w:t>
            </w:r>
          </w:p>
          <w:p>
            <w:pPr>
              <w:pStyle w:val="null3"/>
              <w:jc w:val="left"/>
            </w:pPr>
            <w:r>
              <w:rPr>
                <w:rFonts w:ascii="calibri" w:hAnsi="calibri" w:cs="calibri" w:eastAsia="calibri"/>
                <w:sz w:val="28"/>
              </w:rPr>
              <w:t>1</w:t>
            </w:r>
            <w:r>
              <w:rPr>
                <w:rFonts w:ascii="宋体" w:hAnsi="宋体" w:cs="宋体" w:eastAsia="宋体"/>
                <w:sz w:val="28"/>
              </w:rPr>
              <w:t>、执行标准</w:t>
            </w:r>
            <w:r>
              <w:rPr>
                <w:rFonts w:ascii="calibri" w:hAnsi="calibri" w:cs="calibri" w:eastAsia="calibri"/>
                <w:sz w:val="28"/>
              </w:rPr>
              <w:t>:GB</w:t>
            </w:r>
            <w:r>
              <w:rPr>
                <w:rFonts w:ascii="calibri" w:hAnsi="calibri" w:cs="calibri" w:eastAsia="calibri"/>
                <w:sz w:val="28"/>
              </w:rPr>
              <w:t>T35795-2017</w:t>
            </w:r>
          </w:p>
          <w:p>
            <w:pPr>
              <w:pStyle w:val="null3"/>
              <w:jc w:val="left"/>
            </w:pPr>
            <w:r>
              <w:rPr>
                <w:rFonts w:ascii="calibri" w:hAnsi="calibri" w:cs="calibri" w:eastAsia="calibri"/>
                <w:sz w:val="28"/>
              </w:rPr>
              <w:t>2</w:t>
            </w:r>
            <w:r>
              <w:rPr>
                <w:rFonts w:ascii="宋体" w:hAnsi="宋体" w:cs="宋体" w:eastAsia="宋体"/>
                <w:sz w:val="28"/>
              </w:rPr>
              <w:t>、</w:t>
            </w:r>
            <w:r>
              <w:rPr>
                <w:rFonts w:ascii="宋体" w:hAnsi="宋体" w:cs="宋体" w:eastAsia="宋体"/>
                <w:sz w:val="28"/>
              </w:rPr>
              <w:t>全生物降解农用地面覆盖薄膜</w:t>
            </w:r>
          </w:p>
          <w:p>
            <w:pPr>
              <w:pStyle w:val="null3"/>
              <w:jc w:val="left"/>
            </w:pPr>
            <w:r>
              <w:rPr>
                <w:rFonts w:ascii="calibri" w:hAnsi="calibri" w:cs="calibri" w:eastAsia="calibri"/>
                <w:sz w:val="28"/>
              </w:rPr>
              <w:t>3</w:t>
            </w:r>
            <w:r>
              <w:rPr>
                <w:rFonts w:ascii="宋体" w:hAnsi="宋体" w:cs="宋体" w:eastAsia="宋体"/>
                <w:sz w:val="28"/>
              </w:rPr>
              <w:t>、颜色</w:t>
            </w:r>
            <w:r>
              <w:rPr>
                <w:rFonts w:ascii="calibri" w:hAnsi="calibri" w:cs="calibri" w:eastAsia="calibri"/>
                <w:sz w:val="28"/>
              </w:rPr>
              <w:t>:</w:t>
            </w:r>
            <w:r>
              <w:rPr>
                <w:rFonts w:ascii="宋体" w:hAnsi="宋体" w:cs="宋体" w:eastAsia="宋体"/>
                <w:sz w:val="28"/>
              </w:rPr>
              <w:t>白色</w:t>
            </w:r>
            <w:r>
              <w:rPr>
                <w:rFonts w:ascii="calibri" w:hAnsi="calibri" w:cs="calibri" w:eastAsia="calibri"/>
                <w:sz w:val="28"/>
              </w:rPr>
              <w:t>;</w:t>
            </w:r>
          </w:p>
          <w:p>
            <w:pPr>
              <w:pStyle w:val="null3"/>
              <w:jc w:val="left"/>
            </w:pPr>
            <w:r>
              <w:rPr>
                <w:rFonts w:ascii="calibri" w:hAnsi="calibri" w:cs="calibri" w:eastAsia="calibri"/>
                <w:sz w:val="28"/>
              </w:rPr>
              <w:t>4</w:t>
            </w:r>
            <w:r>
              <w:rPr>
                <w:rFonts w:ascii="宋体" w:hAnsi="宋体" w:cs="宋体" w:eastAsia="宋体"/>
                <w:sz w:val="28"/>
              </w:rPr>
              <w:t>、厚度</w:t>
            </w:r>
            <w:r>
              <w:rPr>
                <w:rFonts w:ascii="calibri" w:hAnsi="calibri" w:cs="calibri" w:eastAsia="calibri"/>
                <w:sz w:val="28"/>
              </w:rPr>
              <w:t>:0.0</w:t>
            </w:r>
            <w:r>
              <w:rPr>
                <w:rFonts w:ascii="calibri" w:hAnsi="calibri" w:cs="calibri" w:eastAsia="calibri"/>
                <w:sz w:val="28"/>
              </w:rPr>
              <w:t>08</w:t>
            </w:r>
            <w:r>
              <w:rPr>
                <w:rFonts w:ascii="calibri" w:hAnsi="calibri" w:cs="calibri" w:eastAsia="calibri"/>
                <w:sz w:val="28"/>
              </w:rPr>
              <w:t xml:space="preserve"> mm</w:t>
            </w:r>
            <w:r>
              <w:rPr>
                <w:rFonts w:ascii="宋体" w:hAnsi="宋体" w:cs="宋体" w:eastAsia="宋体"/>
                <w:sz w:val="28"/>
              </w:rPr>
              <w:t>，厚度偏差</w:t>
            </w:r>
            <w:r>
              <w:rPr>
                <w:rFonts w:ascii="calibri" w:hAnsi="calibri" w:cs="calibri" w:eastAsia="calibri"/>
                <w:sz w:val="28"/>
              </w:rPr>
              <w:t>±0.003 mm</w:t>
            </w:r>
          </w:p>
          <w:p>
            <w:pPr>
              <w:pStyle w:val="null3"/>
              <w:jc w:val="left"/>
            </w:pPr>
            <w:r>
              <w:rPr>
                <w:rFonts w:ascii="calibri" w:hAnsi="calibri" w:cs="calibri" w:eastAsia="calibri"/>
                <w:sz w:val="28"/>
              </w:rPr>
              <w:t>5</w:t>
            </w:r>
            <w:r>
              <w:rPr>
                <w:rFonts w:ascii="宋体" w:hAnsi="宋体" w:cs="宋体" w:eastAsia="宋体"/>
                <w:sz w:val="28"/>
              </w:rPr>
              <w:t>、宽度</w:t>
            </w:r>
            <w:r>
              <w:rPr>
                <w:rFonts w:ascii="calibri" w:hAnsi="calibri" w:cs="calibri" w:eastAsia="calibri"/>
                <w:sz w:val="28"/>
              </w:rPr>
              <w:t>:</w:t>
            </w:r>
            <w:r>
              <w:rPr>
                <w:rFonts w:ascii="calibri" w:hAnsi="calibri" w:cs="calibri" w:eastAsia="calibri"/>
                <w:sz w:val="28"/>
              </w:rPr>
              <w:t>7</w:t>
            </w:r>
            <w:r>
              <w:rPr>
                <w:rFonts w:ascii="calibri" w:hAnsi="calibri" w:cs="calibri" w:eastAsia="calibri"/>
                <w:sz w:val="28"/>
              </w:rPr>
              <w:t>00mm;</w:t>
            </w:r>
            <w:r>
              <w:rPr>
                <w:rFonts w:ascii="宋体" w:hAnsi="宋体" w:cs="宋体" w:eastAsia="宋体"/>
                <w:sz w:val="28"/>
              </w:rPr>
              <w:t>宽度极限偏差</w:t>
            </w:r>
            <w:r>
              <w:rPr>
                <w:rFonts w:ascii="calibri" w:hAnsi="calibri" w:cs="calibri" w:eastAsia="calibri"/>
                <w:sz w:val="28"/>
              </w:rPr>
              <w:t>+</w:t>
            </w:r>
            <w:r>
              <w:rPr>
                <w:rFonts w:ascii="calibri" w:hAnsi="calibri" w:cs="calibri" w:eastAsia="calibri"/>
                <w:sz w:val="28"/>
              </w:rPr>
              <w:t>25</w:t>
            </w:r>
            <w:r>
              <w:rPr>
                <w:rFonts w:ascii="calibri" w:hAnsi="calibri" w:cs="calibri" w:eastAsia="calibri"/>
                <w:sz w:val="28"/>
              </w:rPr>
              <w:t xml:space="preserve"> mm;-10 mm;</w:t>
            </w:r>
          </w:p>
          <w:p>
            <w:pPr>
              <w:pStyle w:val="null3"/>
              <w:jc w:val="left"/>
            </w:pPr>
            <w:r>
              <w:rPr>
                <w:rFonts w:ascii="calibri" w:hAnsi="calibri" w:cs="calibri" w:eastAsia="calibri"/>
                <w:sz w:val="28"/>
              </w:rPr>
              <w:t>6</w:t>
            </w:r>
            <w:r>
              <w:rPr>
                <w:rFonts w:ascii="宋体" w:hAnsi="宋体" w:cs="宋体" w:eastAsia="宋体"/>
                <w:sz w:val="28"/>
              </w:rPr>
              <w:t>、外观</w:t>
            </w:r>
            <w:r>
              <w:rPr>
                <w:rFonts w:ascii="calibri" w:hAnsi="calibri" w:cs="calibri" w:eastAsia="calibri"/>
                <w:sz w:val="28"/>
              </w:rPr>
              <w:t>:</w:t>
            </w:r>
            <w:r>
              <w:rPr>
                <w:rFonts w:ascii="宋体" w:hAnsi="宋体" w:cs="宋体" w:eastAsia="宋体"/>
                <w:sz w:val="28"/>
              </w:rPr>
              <w:t>地膜不应有影响使用的气泡、杂质、条纹、穿孔、褶皱等缺陷。膜卷应卷绕整齐，不应有明显的暴筋，膜卷宽度与膜的公称宽度相差的卷取宽度错位应</w:t>
            </w:r>
            <w:r>
              <w:rPr>
                <w:rFonts w:ascii="宋体" w:hAnsi="宋体" w:cs="宋体" w:eastAsia="宋体"/>
                <w:sz w:val="28"/>
              </w:rPr>
              <w:t>≤</w:t>
            </w:r>
            <w:r>
              <w:rPr>
                <w:rFonts w:ascii="calibri" w:hAnsi="calibri" w:cs="calibri" w:eastAsia="calibri"/>
                <w:sz w:val="28"/>
              </w:rPr>
              <w:t>30mm</w:t>
            </w:r>
            <w:r>
              <w:rPr>
                <w:rFonts w:ascii="宋体" w:hAnsi="宋体" w:cs="宋体" w:eastAsia="宋体"/>
                <w:sz w:val="28"/>
              </w:rPr>
              <w:t>，每卷段数</w:t>
            </w:r>
            <w:r>
              <w:rPr>
                <w:rFonts w:ascii="宋体" w:hAnsi="宋体" w:cs="宋体" w:eastAsia="宋体"/>
                <w:sz w:val="28"/>
              </w:rPr>
              <w:t>≤</w:t>
            </w:r>
            <w:r>
              <w:rPr>
                <w:rFonts w:ascii="calibri" w:hAnsi="calibri" w:cs="calibri" w:eastAsia="calibri"/>
                <w:sz w:val="28"/>
              </w:rPr>
              <w:t>2</w:t>
            </w:r>
            <w:r>
              <w:rPr>
                <w:rFonts w:ascii="宋体" w:hAnsi="宋体" w:cs="宋体" w:eastAsia="宋体"/>
                <w:sz w:val="28"/>
              </w:rPr>
              <w:t>段</w:t>
            </w:r>
            <w:r>
              <w:rPr>
                <w:rFonts w:ascii="宋体" w:hAnsi="宋体" w:cs="宋体" w:eastAsia="宋体"/>
                <w:sz w:val="28"/>
              </w:rPr>
              <w:t>，每段长度</w:t>
            </w:r>
            <w:r>
              <w:rPr>
                <w:rFonts w:ascii="calibri" w:hAnsi="calibri" w:cs="calibri" w:eastAsia="calibri"/>
                <w:sz w:val="28"/>
              </w:rPr>
              <w:t>≥100m;</w:t>
            </w:r>
          </w:p>
          <w:p>
            <w:pPr>
              <w:pStyle w:val="null3"/>
              <w:jc w:val="left"/>
            </w:pPr>
            <w:r>
              <w:rPr>
                <w:rFonts w:ascii="calibri" w:hAnsi="calibri" w:cs="calibri" w:eastAsia="calibri"/>
                <w:sz w:val="28"/>
              </w:rPr>
              <w:t>7</w:t>
            </w:r>
            <w:r>
              <w:rPr>
                <w:rFonts w:ascii="宋体" w:hAnsi="宋体" w:cs="宋体" w:eastAsia="宋体"/>
                <w:sz w:val="28"/>
              </w:rPr>
              <w:t>、物理机械性能</w:t>
            </w:r>
            <w:r>
              <w:rPr>
                <w:rFonts w:ascii="calibri" w:hAnsi="calibri" w:cs="calibri" w:eastAsia="calibri"/>
                <w:sz w:val="28"/>
              </w:rPr>
              <w:t>:</w:t>
            </w:r>
            <w:r>
              <w:rPr>
                <w:rFonts w:ascii="宋体" w:hAnsi="宋体" w:cs="宋体" w:eastAsia="宋体"/>
                <w:sz w:val="28"/>
              </w:rPr>
              <w:t>拉伸负荷</w:t>
            </w:r>
            <w:r>
              <w:rPr>
                <w:rFonts w:ascii="calibri" w:hAnsi="calibri" w:cs="calibri" w:eastAsia="calibri"/>
                <w:sz w:val="28"/>
              </w:rPr>
              <w:t>:</w:t>
            </w:r>
            <w:r>
              <w:rPr>
                <w:rFonts w:ascii="宋体" w:hAnsi="宋体" w:cs="宋体" w:eastAsia="宋体"/>
                <w:sz w:val="28"/>
              </w:rPr>
              <w:t>纵向</w:t>
            </w:r>
            <w:r>
              <w:rPr>
                <w:rFonts w:ascii="calibri" w:hAnsi="calibri" w:cs="calibri" w:eastAsia="calibri"/>
                <w:sz w:val="28"/>
              </w:rPr>
              <w:t>≥</w:t>
            </w:r>
            <w:r>
              <w:rPr>
                <w:rFonts w:ascii="calibri" w:hAnsi="calibri" w:cs="calibri" w:eastAsia="calibri"/>
                <w:sz w:val="28"/>
              </w:rPr>
              <w:t>1.5</w:t>
            </w:r>
            <w:r>
              <w:rPr>
                <w:rFonts w:ascii="calibri" w:hAnsi="calibri" w:cs="calibri" w:eastAsia="calibri"/>
                <w:sz w:val="28"/>
              </w:rPr>
              <w:t>N</w:t>
            </w:r>
            <w:r>
              <w:rPr>
                <w:rFonts w:ascii="宋体" w:hAnsi="宋体" w:cs="宋体" w:eastAsia="宋体"/>
                <w:sz w:val="28"/>
              </w:rPr>
              <w:t>，横向</w:t>
            </w:r>
            <w:r>
              <w:rPr>
                <w:rFonts w:ascii="calibri" w:hAnsi="calibri" w:cs="calibri" w:eastAsia="calibri"/>
                <w:sz w:val="28"/>
              </w:rPr>
              <w:t>≥</w:t>
            </w:r>
            <w:r>
              <w:rPr>
                <w:rFonts w:ascii="calibri" w:hAnsi="calibri" w:cs="calibri" w:eastAsia="calibri"/>
                <w:sz w:val="28"/>
              </w:rPr>
              <w:t>1.5</w:t>
            </w:r>
            <w:r>
              <w:rPr>
                <w:rFonts w:ascii="calibri" w:hAnsi="calibri" w:cs="calibri" w:eastAsia="calibri"/>
                <w:sz w:val="28"/>
              </w:rPr>
              <w:t>N;</w:t>
            </w:r>
            <w:r>
              <w:rPr>
                <w:rFonts w:ascii="宋体" w:hAnsi="宋体" w:cs="宋体" w:eastAsia="宋体"/>
                <w:sz w:val="28"/>
              </w:rPr>
              <w:t>断裂伸长率</w:t>
            </w:r>
            <w:r>
              <w:rPr>
                <w:rFonts w:ascii="calibri" w:hAnsi="calibri" w:cs="calibri" w:eastAsia="calibri"/>
                <w:sz w:val="28"/>
              </w:rPr>
              <w:t>:</w:t>
            </w:r>
            <w:r>
              <w:rPr>
                <w:rFonts w:ascii="宋体" w:hAnsi="宋体" w:cs="宋体" w:eastAsia="宋体"/>
                <w:sz w:val="28"/>
              </w:rPr>
              <w:t>纵向</w:t>
            </w:r>
            <w:r>
              <w:rPr>
                <w:rFonts w:ascii="calibri" w:hAnsi="calibri" w:cs="calibri" w:eastAsia="calibri"/>
                <w:sz w:val="28"/>
              </w:rPr>
              <w:t>150</w:t>
            </w:r>
            <w:r>
              <w:rPr>
                <w:rFonts w:ascii="calibri" w:hAnsi="calibri" w:cs="calibri" w:eastAsia="calibri"/>
                <w:sz w:val="28"/>
              </w:rPr>
              <w:t>%</w:t>
            </w:r>
            <w:r>
              <w:rPr>
                <w:rFonts w:ascii="宋体" w:hAnsi="宋体" w:cs="宋体" w:eastAsia="宋体"/>
                <w:sz w:val="28"/>
              </w:rPr>
              <w:t>，横向</w:t>
            </w:r>
            <w:r>
              <w:rPr>
                <w:rFonts w:ascii="calibri" w:hAnsi="calibri" w:cs="calibri" w:eastAsia="calibri"/>
                <w:sz w:val="28"/>
              </w:rPr>
              <w:t>≥</w:t>
            </w:r>
            <w:r>
              <w:rPr>
                <w:rFonts w:ascii="calibri" w:hAnsi="calibri" w:cs="calibri" w:eastAsia="calibri"/>
                <w:sz w:val="28"/>
              </w:rPr>
              <w:t>250</w:t>
            </w:r>
            <w:r>
              <w:rPr>
                <w:rFonts w:ascii="calibri" w:hAnsi="calibri" w:cs="calibri" w:eastAsia="calibri"/>
                <w:sz w:val="28"/>
              </w:rPr>
              <w:t>%;</w:t>
            </w:r>
            <w:r>
              <w:rPr>
                <w:rFonts w:ascii="宋体" w:hAnsi="宋体" w:cs="宋体" w:eastAsia="宋体"/>
                <w:sz w:val="28"/>
              </w:rPr>
              <w:t>直角撕裂负荷</w:t>
            </w:r>
            <w:r>
              <w:rPr>
                <w:rFonts w:ascii="calibri" w:hAnsi="calibri" w:cs="calibri" w:eastAsia="calibri"/>
                <w:sz w:val="28"/>
              </w:rPr>
              <w:t>:</w:t>
            </w:r>
            <w:r>
              <w:rPr>
                <w:rFonts w:ascii="宋体" w:hAnsi="宋体" w:cs="宋体" w:eastAsia="宋体"/>
                <w:sz w:val="28"/>
              </w:rPr>
              <w:t>纵向</w:t>
            </w:r>
            <w:r>
              <w:rPr>
                <w:rFonts w:ascii="calibri" w:hAnsi="calibri" w:cs="calibri" w:eastAsia="calibri"/>
                <w:sz w:val="28"/>
              </w:rPr>
              <w:t>≥</w:t>
            </w:r>
            <w:r>
              <w:rPr>
                <w:rFonts w:ascii="calibri" w:hAnsi="calibri" w:cs="calibri" w:eastAsia="calibri"/>
                <w:sz w:val="28"/>
              </w:rPr>
              <w:t>0.5</w:t>
            </w:r>
            <w:r>
              <w:rPr>
                <w:rFonts w:ascii="calibri" w:hAnsi="calibri" w:cs="calibri" w:eastAsia="calibri"/>
                <w:sz w:val="28"/>
              </w:rPr>
              <w:t>N</w:t>
            </w:r>
            <w:r>
              <w:rPr>
                <w:rFonts w:ascii="宋体" w:hAnsi="宋体" w:cs="宋体" w:eastAsia="宋体"/>
                <w:sz w:val="28"/>
              </w:rPr>
              <w:t>，横向</w:t>
            </w:r>
            <w:r>
              <w:rPr>
                <w:rFonts w:ascii="calibri" w:hAnsi="calibri" w:cs="calibri" w:eastAsia="calibri"/>
                <w:sz w:val="28"/>
              </w:rPr>
              <w:t>≥</w:t>
            </w:r>
            <w:r>
              <w:rPr>
                <w:rFonts w:ascii="calibri" w:hAnsi="calibri" w:cs="calibri" w:eastAsia="calibri"/>
                <w:sz w:val="28"/>
              </w:rPr>
              <w:t>0.5</w:t>
            </w:r>
            <w:r>
              <w:rPr>
                <w:rFonts w:ascii="calibri" w:hAnsi="calibri" w:cs="calibri" w:eastAsia="calibri"/>
                <w:sz w:val="28"/>
              </w:rPr>
              <w:t>N;</w:t>
            </w:r>
          </w:p>
          <w:p>
            <w:pPr>
              <w:pStyle w:val="null3"/>
              <w:jc w:val="left"/>
            </w:pPr>
            <w:r>
              <w:rPr>
                <w:rFonts w:ascii="calibri" w:hAnsi="calibri" w:cs="calibri" w:eastAsia="calibri"/>
                <w:sz w:val="28"/>
              </w:rPr>
              <w:t>8</w:t>
            </w:r>
            <w:r>
              <w:rPr>
                <w:rFonts w:ascii="宋体" w:hAnsi="宋体" w:cs="宋体" w:eastAsia="宋体"/>
                <w:sz w:val="28"/>
              </w:rPr>
              <w:t>、有效覆膜时间</w:t>
            </w:r>
            <w:r>
              <w:rPr>
                <w:rFonts w:ascii="宋体" w:hAnsi="宋体" w:cs="宋体" w:eastAsia="宋体"/>
                <w:sz w:val="28"/>
              </w:rPr>
              <w:t>＞</w:t>
            </w:r>
            <w:r>
              <w:rPr>
                <w:rFonts w:ascii="calibri" w:hAnsi="calibri" w:cs="calibri" w:eastAsia="calibri"/>
                <w:sz w:val="28"/>
              </w:rPr>
              <w:t>60-</w:t>
            </w:r>
            <w:r>
              <w:rPr>
                <w:rFonts w:ascii="宋体" w:hAnsi="宋体" w:cs="宋体" w:eastAsia="宋体"/>
                <w:sz w:val="28"/>
              </w:rPr>
              <w:t>≤</w:t>
            </w:r>
            <w:r>
              <w:rPr>
                <w:rFonts w:ascii="calibri" w:hAnsi="calibri" w:cs="calibri" w:eastAsia="calibri"/>
                <w:sz w:val="28"/>
              </w:rPr>
              <w:t>90</w:t>
            </w:r>
            <w:r>
              <w:rPr>
                <w:rFonts w:ascii="宋体" w:hAnsi="宋体" w:cs="宋体" w:eastAsia="宋体"/>
                <w:sz w:val="28"/>
              </w:rPr>
              <w:t>天</w:t>
            </w:r>
            <w:r>
              <w:rPr>
                <w:rFonts w:ascii="calibri" w:hAnsi="calibri" w:cs="calibri" w:eastAsia="calibri"/>
                <w:sz w:val="28"/>
              </w:rPr>
              <w:t>;</w:t>
            </w:r>
          </w:p>
          <w:p>
            <w:pPr>
              <w:pStyle w:val="null3"/>
              <w:jc w:val="left"/>
            </w:pPr>
            <w:r>
              <w:rPr>
                <w:rFonts w:ascii="calibri" w:hAnsi="calibri" w:cs="calibri" w:eastAsia="calibri"/>
                <w:sz w:val="28"/>
              </w:rPr>
              <w:t>9</w:t>
            </w:r>
            <w:r>
              <w:rPr>
                <w:rFonts w:ascii="宋体" w:hAnsi="宋体" w:cs="宋体" w:eastAsia="宋体"/>
                <w:sz w:val="28"/>
              </w:rPr>
              <w:t>、生物降解性能（</w:t>
            </w:r>
            <w:r>
              <w:rPr>
                <w:rFonts w:ascii="calibri" w:hAnsi="calibri" w:cs="calibri" w:eastAsia="calibri"/>
                <w:sz w:val="28"/>
              </w:rPr>
              <w:t>1</w:t>
            </w:r>
            <w:r>
              <w:rPr>
                <w:rFonts w:ascii="宋体" w:hAnsi="宋体" w:cs="宋体" w:eastAsia="宋体"/>
                <w:sz w:val="28"/>
              </w:rPr>
              <w:t>）有机成分应≥</w:t>
            </w:r>
            <w:r>
              <w:rPr>
                <w:rFonts w:ascii="calibri" w:hAnsi="calibri" w:cs="calibri" w:eastAsia="calibri"/>
                <w:sz w:val="28"/>
              </w:rPr>
              <w:t xml:space="preserve">51% </w:t>
            </w:r>
            <w:r>
              <w:rPr>
                <w:rFonts w:ascii="宋体" w:hAnsi="宋体" w:cs="宋体" w:eastAsia="宋体"/>
                <w:sz w:val="28"/>
              </w:rPr>
              <w:t>（</w:t>
            </w:r>
            <w:r>
              <w:rPr>
                <w:rFonts w:ascii="calibri" w:hAnsi="calibri" w:cs="calibri" w:eastAsia="calibri"/>
                <w:sz w:val="28"/>
              </w:rPr>
              <w:t>2</w:t>
            </w:r>
            <w:r>
              <w:rPr>
                <w:rFonts w:ascii="宋体" w:hAnsi="宋体" w:cs="宋体" w:eastAsia="宋体"/>
                <w:sz w:val="28"/>
              </w:rPr>
              <w:t>）相对生物分解率≥</w:t>
            </w:r>
            <w:r>
              <w:rPr>
                <w:rFonts w:ascii="calibri" w:hAnsi="calibri" w:cs="calibri" w:eastAsia="calibri"/>
                <w:sz w:val="28"/>
              </w:rPr>
              <w:t>90%</w:t>
            </w:r>
          </w:p>
          <w:p>
            <w:pPr>
              <w:pStyle w:val="null3"/>
              <w:jc w:val="left"/>
            </w:pPr>
            <w:r>
              <w:rPr>
                <w:rFonts w:ascii="calibri" w:hAnsi="calibri" w:cs="calibri" w:eastAsia="calibri"/>
                <w:sz w:val="28"/>
              </w:rPr>
              <w:t>10</w:t>
            </w:r>
            <w:r>
              <w:rPr>
                <w:rFonts w:ascii="宋体" w:hAnsi="宋体" w:cs="宋体" w:eastAsia="宋体"/>
                <w:sz w:val="28"/>
              </w:rPr>
              <w:t>、包装及规格</w:t>
            </w:r>
            <w:r>
              <w:rPr>
                <w:rFonts w:ascii="calibri" w:hAnsi="calibri" w:cs="calibri" w:eastAsia="calibri"/>
                <w:sz w:val="28"/>
              </w:rPr>
              <w:t>:10</w:t>
            </w:r>
            <w:r>
              <w:rPr>
                <w:rFonts w:ascii="宋体" w:hAnsi="宋体" w:cs="宋体" w:eastAsia="宋体"/>
                <w:sz w:val="28"/>
              </w:rPr>
              <w:t>公斤包装</w:t>
            </w:r>
            <w:r>
              <w:rPr>
                <w:rFonts w:ascii="calibri" w:hAnsi="calibri" w:cs="calibri" w:eastAsia="calibri"/>
                <w:sz w:val="28"/>
              </w:rPr>
              <w:t>(</w:t>
            </w:r>
            <w:r>
              <w:rPr>
                <w:rFonts w:ascii="宋体" w:hAnsi="宋体" w:cs="宋体" w:eastAsia="宋体"/>
                <w:sz w:val="28"/>
              </w:rPr>
              <w:t>每卷净质量偏差</w:t>
            </w:r>
            <w:r>
              <w:rPr>
                <w:rFonts w:ascii="calibri" w:hAnsi="calibri" w:cs="calibri" w:eastAsia="calibri"/>
                <w:sz w:val="28"/>
              </w:rPr>
              <w:t>+0.2;-0.1</w:t>
            </w:r>
            <w:r>
              <w:rPr>
                <w:rFonts w:ascii="calibri" w:hAnsi="calibri" w:cs="calibri" w:eastAsia="calibri"/>
                <w:sz w:val="28"/>
              </w:rPr>
              <w:t>5</w:t>
            </w:r>
            <w:r>
              <w:rPr>
                <w:rFonts w:ascii="calibri" w:hAnsi="calibri" w:cs="calibri" w:eastAsia="calibri"/>
                <w:sz w:val="28"/>
              </w:rPr>
              <w:t>kg)</w:t>
            </w:r>
            <w:r>
              <w:rPr>
                <w:rFonts w:ascii="宋体" w:hAnsi="宋体" w:cs="宋体" w:eastAsia="宋体"/>
                <w:sz w:val="28"/>
              </w:rPr>
              <w:t>，每卷膜的内包装应附产品合格证，内容包括产品名称、类别、宽度、厚度、长度、净质量、质量等级、生产日期、生产厂名、生产厂地址、每卷膜的外包装应在明显的位置标有</w:t>
            </w:r>
            <w:r>
              <w:rPr>
                <w:rFonts w:ascii="calibri" w:hAnsi="calibri" w:cs="calibri" w:eastAsia="calibri"/>
                <w:sz w:val="28"/>
              </w:rPr>
              <w:t>“</w:t>
            </w:r>
            <w:r>
              <w:rPr>
                <w:rFonts w:ascii="宋体" w:hAnsi="宋体" w:cs="宋体" w:eastAsia="宋体"/>
                <w:sz w:val="28"/>
              </w:rPr>
              <w:t>政府采购地膜</w:t>
            </w:r>
            <w:r>
              <w:rPr>
                <w:rFonts w:ascii="calibri" w:hAnsi="calibri" w:cs="calibri" w:eastAsia="calibri"/>
                <w:sz w:val="28"/>
              </w:rPr>
              <w:t>”</w:t>
            </w:r>
            <w:r>
              <w:rPr>
                <w:rFonts w:ascii="宋体" w:hAnsi="宋体" w:cs="宋体" w:eastAsia="宋体"/>
                <w:sz w:val="28"/>
              </w:rPr>
              <w:t>字样。提供相关证明材料</w:t>
            </w:r>
            <w:r>
              <w:rPr>
                <w:rFonts w:ascii="calibri" w:hAnsi="calibri" w:cs="calibri" w:eastAsia="calibri"/>
                <w:sz w:val="28"/>
              </w:rPr>
              <w:t>(</w:t>
            </w:r>
            <w:r>
              <w:rPr>
                <w:rFonts w:ascii="宋体" w:hAnsi="宋体" w:cs="宋体" w:eastAsia="宋体"/>
                <w:sz w:val="28"/>
              </w:rPr>
              <w:t>包含但不限于半年内有效的第三方检验报告等</w:t>
            </w:r>
            <w:r>
              <w:rPr>
                <w:rFonts w:ascii="calibri" w:hAnsi="calibri" w:cs="calibri" w:eastAsia="calibri"/>
                <w:sz w:val="28"/>
              </w:rPr>
              <w:t>)</w:t>
            </w:r>
          </w:p>
        </w:tc>
      </w:tr>
    </w:tbl>
    <w:p>
      <w:pPr>
        <w:pStyle w:val="null3"/>
      </w:pPr>
      <w:r>
        <w:rPr/>
        <w:t>标的名称：高强度地膜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center"/>
            </w:pPr>
            <w:r>
              <w:rPr>
                <w:rFonts w:ascii="宋体" w:hAnsi="宋体" w:cs="宋体" w:eastAsia="宋体"/>
                <w:sz w:val="40"/>
                <w:b/>
              </w:rPr>
              <w:t>加厚高强度地膜参数要求</w:t>
            </w:r>
          </w:p>
          <w:p>
            <w:pPr>
              <w:pStyle w:val="null3"/>
              <w:jc w:val="both"/>
            </w:pPr>
            <w:r>
              <w:rPr>
                <w:rFonts w:ascii="calibri" w:hAnsi="calibri" w:cs="calibri" w:eastAsia="calibri"/>
                <w:sz w:val="28"/>
              </w:rPr>
              <w:t>7</w:t>
            </w:r>
            <w:r>
              <w:rPr>
                <w:rFonts w:ascii="calibri" w:hAnsi="calibri" w:cs="calibri" w:eastAsia="calibri"/>
                <w:sz w:val="28"/>
              </w:rPr>
              <w:t>00mmx0.015mmx</w:t>
            </w:r>
            <w:r>
              <w:rPr>
                <w:rFonts w:ascii="calibri" w:hAnsi="calibri" w:cs="calibri" w:eastAsia="calibri"/>
                <w:sz w:val="28"/>
              </w:rPr>
              <w:t>10kg</w:t>
            </w:r>
            <w:r>
              <w:rPr>
                <w:rFonts w:ascii="宋体" w:hAnsi="宋体" w:cs="宋体" w:eastAsia="宋体"/>
                <w:sz w:val="28"/>
              </w:rPr>
              <w:t>加厚高强度地膜</w:t>
            </w:r>
          </w:p>
          <w:p>
            <w:pPr>
              <w:pStyle w:val="null3"/>
              <w:jc w:val="both"/>
            </w:pPr>
            <w:r>
              <w:rPr>
                <w:rFonts w:ascii="calibri" w:hAnsi="calibri" w:cs="calibri" w:eastAsia="calibri"/>
                <w:sz w:val="28"/>
              </w:rPr>
              <w:t>1</w:t>
            </w:r>
            <w:r>
              <w:rPr>
                <w:rFonts w:ascii="宋体" w:hAnsi="宋体" w:cs="宋体" w:eastAsia="宋体"/>
                <w:sz w:val="28"/>
              </w:rPr>
              <w:t>、执行标准</w:t>
            </w:r>
            <w:r>
              <w:rPr>
                <w:rFonts w:ascii="calibri" w:hAnsi="calibri" w:cs="calibri" w:eastAsia="calibri"/>
                <w:sz w:val="28"/>
              </w:rPr>
              <w:t>:GB13735-2017;</w:t>
            </w:r>
          </w:p>
          <w:p>
            <w:pPr>
              <w:pStyle w:val="null3"/>
              <w:jc w:val="both"/>
            </w:pPr>
            <w:r>
              <w:rPr>
                <w:rFonts w:ascii="calibri" w:hAnsi="calibri" w:cs="calibri" w:eastAsia="calibri"/>
                <w:sz w:val="28"/>
              </w:rPr>
              <w:t>2</w:t>
            </w:r>
            <w:r>
              <w:rPr>
                <w:rFonts w:ascii="宋体" w:hAnsi="宋体" w:cs="宋体" w:eastAsia="宋体"/>
                <w:sz w:val="28"/>
              </w:rPr>
              <w:t>、</w:t>
            </w:r>
            <w:r>
              <w:rPr>
                <w:rFonts w:ascii="calibri" w:hAnsi="calibri" w:cs="calibri" w:eastAsia="calibri"/>
                <w:sz w:val="28"/>
              </w:rPr>
              <w:t>I</w:t>
            </w:r>
            <w:r>
              <w:rPr>
                <w:rFonts w:ascii="宋体" w:hAnsi="宋体" w:cs="宋体" w:eastAsia="宋体"/>
                <w:sz w:val="28"/>
              </w:rPr>
              <w:t>类加耐候剂树脂</w:t>
            </w:r>
            <w:r>
              <w:rPr>
                <w:rFonts w:ascii="calibri" w:hAnsi="calibri" w:cs="calibri" w:eastAsia="calibri"/>
                <w:sz w:val="28"/>
              </w:rPr>
              <w:t>;</w:t>
            </w:r>
          </w:p>
          <w:p>
            <w:pPr>
              <w:pStyle w:val="null3"/>
              <w:jc w:val="both"/>
            </w:pPr>
            <w:r>
              <w:rPr>
                <w:rFonts w:ascii="calibri" w:hAnsi="calibri" w:cs="calibri" w:eastAsia="calibri"/>
                <w:sz w:val="28"/>
              </w:rPr>
              <w:t>3</w:t>
            </w:r>
            <w:r>
              <w:rPr>
                <w:rFonts w:ascii="宋体" w:hAnsi="宋体" w:cs="宋体" w:eastAsia="宋体"/>
                <w:sz w:val="28"/>
              </w:rPr>
              <w:t>、颜色</w:t>
            </w:r>
            <w:r>
              <w:rPr>
                <w:rFonts w:ascii="calibri" w:hAnsi="calibri" w:cs="calibri" w:eastAsia="calibri"/>
                <w:sz w:val="28"/>
              </w:rPr>
              <w:t>:</w:t>
            </w:r>
            <w:r>
              <w:rPr>
                <w:rFonts w:ascii="宋体" w:hAnsi="宋体" w:cs="宋体" w:eastAsia="宋体"/>
                <w:sz w:val="28"/>
              </w:rPr>
              <w:t>白色</w:t>
            </w:r>
            <w:r>
              <w:rPr>
                <w:rFonts w:ascii="calibri" w:hAnsi="calibri" w:cs="calibri" w:eastAsia="calibri"/>
                <w:sz w:val="28"/>
              </w:rPr>
              <w:t>;</w:t>
            </w:r>
          </w:p>
          <w:p>
            <w:pPr>
              <w:pStyle w:val="null3"/>
              <w:jc w:val="both"/>
            </w:pPr>
            <w:r>
              <w:rPr>
                <w:rFonts w:ascii="calibri" w:hAnsi="calibri" w:cs="calibri" w:eastAsia="calibri"/>
                <w:sz w:val="28"/>
              </w:rPr>
              <w:t>4</w:t>
            </w:r>
            <w:r>
              <w:rPr>
                <w:rFonts w:ascii="宋体" w:hAnsi="宋体" w:cs="宋体" w:eastAsia="宋体"/>
                <w:sz w:val="28"/>
              </w:rPr>
              <w:t>、厚度</w:t>
            </w:r>
            <w:r>
              <w:rPr>
                <w:rFonts w:ascii="calibri" w:hAnsi="calibri" w:cs="calibri" w:eastAsia="calibri"/>
                <w:sz w:val="28"/>
              </w:rPr>
              <w:t>:0.015 mm</w:t>
            </w:r>
            <w:r>
              <w:rPr>
                <w:rFonts w:ascii="宋体" w:hAnsi="宋体" w:cs="宋体" w:eastAsia="宋体"/>
                <w:sz w:val="28"/>
              </w:rPr>
              <w:t>，厚度偏差</w:t>
            </w:r>
            <w:r>
              <w:rPr>
                <w:rFonts w:ascii="calibri" w:hAnsi="calibri" w:cs="calibri" w:eastAsia="calibri"/>
                <w:sz w:val="28"/>
              </w:rPr>
              <w:t>+0.00</w:t>
            </w:r>
            <w:r>
              <w:rPr>
                <w:rFonts w:ascii="calibri" w:hAnsi="calibri" w:cs="calibri" w:eastAsia="calibri"/>
                <w:sz w:val="28"/>
              </w:rPr>
              <w:t>4</w:t>
            </w:r>
            <w:r>
              <w:rPr>
                <w:rFonts w:ascii="calibri" w:hAnsi="calibri" w:cs="calibri" w:eastAsia="calibri"/>
                <w:sz w:val="28"/>
              </w:rPr>
              <w:t xml:space="preserve"> mm;-0.00</w:t>
            </w:r>
            <w:r>
              <w:rPr>
                <w:rFonts w:ascii="calibri" w:hAnsi="calibri" w:cs="calibri" w:eastAsia="calibri"/>
                <w:sz w:val="28"/>
              </w:rPr>
              <w:t>3</w:t>
            </w:r>
            <w:r>
              <w:rPr>
                <w:rFonts w:ascii="calibri" w:hAnsi="calibri" w:cs="calibri" w:eastAsia="calibri"/>
                <w:sz w:val="28"/>
              </w:rPr>
              <w:t xml:space="preserve"> mm;</w:t>
            </w:r>
          </w:p>
          <w:p>
            <w:pPr>
              <w:pStyle w:val="null3"/>
              <w:jc w:val="both"/>
            </w:pPr>
            <w:r>
              <w:rPr>
                <w:rFonts w:ascii="calibri" w:hAnsi="calibri" w:cs="calibri" w:eastAsia="calibri"/>
                <w:sz w:val="28"/>
              </w:rPr>
              <w:t>5</w:t>
            </w:r>
            <w:r>
              <w:rPr>
                <w:rFonts w:ascii="宋体" w:hAnsi="宋体" w:cs="宋体" w:eastAsia="宋体"/>
                <w:sz w:val="28"/>
              </w:rPr>
              <w:t>、宽度</w:t>
            </w:r>
            <w:r>
              <w:rPr>
                <w:rFonts w:ascii="calibri" w:hAnsi="calibri" w:cs="calibri" w:eastAsia="calibri"/>
                <w:sz w:val="28"/>
              </w:rPr>
              <w:t>:</w:t>
            </w:r>
            <w:r>
              <w:rPr>
                <w:rFonts w:ascii="calibri" w:hAnsi="calibri" w:cs="calibri" w:eastAsia="calibri"/>
                <w:sz w:val="28"/>
              </w:rPr>
              <w:t>7</w:t>
            </w:r>
            <w:r>
              <w:rPr>
                <w:rFonts w:ascii="calibri" w:hAnsi="calibri" w:cs="calibri" w:eastAsia="calibri"/>
                <w:sz w:val="28"/>
              </w:rPr>
              <w:t>00mm;</w:t>
            </w:r>
            <w:r>
              <w:rPr>
                <w:rFonts w:ascii="宋体" w:hAnsi="宋体" w:cs="宋体" w:eastAsia="宋体"/>
                <w:sz w:val="28"/>
              </w:rPr>
              <w:t>宽度极限偏差</w:t>
            </w:r>
            <w:r>
              <w:rPr>
                <w:rFonts w:ascii="calibri" w:hAnsi="calibri" w:cs="calibri" w:eastAsia="calibri"/>
                <w:sz w:val="28"/>
              </w:rPr>
              <w:t>+</w:t>
            </w:r>
            <w:r>
              <w:rPr>
                <w:rFonts w:ascii="calibri" w:hAnsi="calibri" w:cs="calibri" w:eastAsia="calibri"/>
                <w:sz w:val="28"/>
              </w:rPr>
              <w:t>3</w:t>
            </w:r>
            <w:r>
              <w:rPr>
                <w:rFonts w:ascii="calibri" w:hAnsi="calibri" w:cs="calibri" w:eastAsia="calibri"/>
                <w:sz w:val="28"/>
              </w:rPr>
              <w:t>0 mm;-10 mm;</w:t>
            </w:r>
          </w:p>
          <w:p>
            <w:pPr>
              <w:pStyle w:val="null3"/>
              <w:jc w:val="both"/>
            </w:pPr>
            <w:r>
              <w:rPr>
                <w:rFonts w:ascii="calibri" w:hAnsi="calibri" w:cs="calibri" w:eastAsia="calibri"/>
                <w:sz w:val="28"/>
              </w:rPr>
              <w:t>6</w:t>
            </w:r>
            <w:r>
              <w:rPr>
                <w:rFonts w:ascii="宋体" w:hAnsi="宋体" w:cs="宋体" w:eastAsia="宋体"/>
                <w:sz w:val="28"/>
              </w:rPr>
              <w:t>、外观</w:t>
            </w:r>
            <w:r>
              <w:rPr>
                <w:rFonts w:ascii="calibri" w:hAnsi="calibri" w:cs="calibri" w:eastAsia="calibri"/>
                <w:sz w:val="28"/>
              </w:rPr>
              <w:t>:</w:t>
            </w:r>
            <w:r>
              <w:rPr>
                <w:rFonts w:ascii="宋体" w:hAnsi="宋体" w:cs="宋体" w:eastAsia="宋体"/>
                <w:sz w:val="28"/>
              </w:rPr>
              <w:t>地膜不应有影响使用的气泡、杂质、条纹、穿孔、褶皱等缺陷。膜卷应卷绕整齐，不应有明显的暴筋，膜卷宽度与膜的公称宽度相差的卷取宽度错位应</w:t>
            </w:r>
            <w:r>
              <w:rPr>
                <w:rFonts w:ascii="宋体" w:hAnsi="宋体" w:cs="宋体" w:eastAsia="宋体"/>
                <w:sz w:val="28"/>
              </w:rPr>
              <w:t>≤</w:t>
            </w:r>
            <w:r>
              <w:rPr>
                <w:rFonts w:ascii="calibri" w:hAnsi="calibri" w:cs="calibri" w:eastAsia="calibri"/>
                <w:sz w:val="28"/>
              </w:rPr>
              <w:t>30mm</w:t>
            </w:r>
            <w:r>
              <w:rPr>
                <w:rFonts w:ascii="宋体" w:hAnsi="宋体" w:cs="宋体" w:eastAsia="宋体"/>
                <w:sz w:val="28"/>
              </w:rPr>
              <w:t>，每卷段数</w:t>
            </w:r>
            <w:r>
              <w:rPr>
                <w:rFonts w:ascii="宋体" w:hAnsi="宋体" w:cs="宋体" w:eastAsia="宋体"/>
                <w:sz w:val="28"/>
              </w:rPr>
              <w:t>≤</w:t>
            </w:r>
            <w:r>
              <w:rPr>
                <w:rFonts w:ascii="calibri" w:hAnsi="calibri" w:cs="calibri" w:eastAsia="calibri"/>
                <w:sz w:val="28"/>
              </w:rPr>
              <w:t>2</w:t>
            </w:r>
            <w:r>
              <w:rPr>
                <w:rFonts w:ascii="宋体" w:hAnsi="宋体" w:cs="宋体" w:eastAsia="宋体"/>
                <w:sz w:val="28"/>
              </w:rPr>
              <w:t>段，每段长度</w:t>
            </w:r>
            <w:r>
              <w:rPr>
                <w:rFonts w:ascii="calibri" w:hAnsi="calibri" w:cs="calibri" w:eastAsia="calibri"/>
                <w:sz w:val="28"/>
              </w:rPr>
              <w:t>≥100m;</w:t>
            </w:r>
          </w:p>
          <w:p>
            <w:pPr>
              <w:pStyle w:val="null3"/>
              <w:jc w:val="both"/>
            </w:pPr>
            <w:r>
              <w:rPr>
                <w:rFonts w:ascii="calibri" w:hAnsi="calibri" w:cs="calibri" w:eastAsia="calibri"/>
                <w:sz w:val="28"/>
              </w:rPr>
              <w:t>7</w:t>
            </w:r>
            <w:r>
              <w:rPr>
                <w:rFonts w:ascii="宋体" w:hAnsi="宋体" w:cs="宋体" w:eastAsia="宋体"/>
                <w:sz w:val="28"/>
              </w:rPr>
              <w:t>、物理机械性能</w:t>
            </w:r>
            <w:r>
              <w:rPr>
                <w:rFonts w:ascii="calibri" w:hAnsi="calibri" w:cs="calibri" w:eastAsia="calibri"/>
                <w:sz w:val="28"/>
              </w:rPr>
              <w:t>:</w:t>
            </w:r>
            <w:r>
              <w:rPr>
                <w:rFonts w:ascii="宋体" w:hAnsi="宋体" w:cs="宋体" w:eastAsia="宋体"/>
                <w:sz w:val="28"/>
              </w:rPr>
              <w:t>拉伸负荷</w:t>
            </w:r>
            <w:r>
              <w:rPr>
                <w:rFonts w:ascii="calibri" w:hAnsi="calibri" w:cs="calibri" w:eastAsia="calibri"/>
                <w:sz w:val="28"/>
              </w:rPr>
              <w:t>:</w:t>
            </w:r>
            <w:r>
              <w:rPr>
                <w:rFonts w:ascii="宋体" w:hAnsi="宋体" w:cs="宋体" w:eastAsia="宋体"/>
                <w:sz w:val="28"/>
              </w:rPr>
              <w:t>纵向</w:t>
            </w:r>
            <w:r>
              <w:rPr>
                <w:rFonts w:ascii="calibri" w:hAnsi="calibri" w:cs="calibri" w:eastAsia="calibri"/>
                <w:sz w:val="28"/>
              </w:rPr>
              <w:t>≥2.2N</w:t>
            </w:r>
            <w:r>
              <w:rPr>
                <w:rFonts w:ascii="宋体" w:hAnsi="宋体" w:cs="宋体" w:eastAsia="宋体"/>
                <w:sz w:val="28"/>
              </w:rPr>
              <w:t>，横向</w:t>
            </w:r>
            <w:r>
              <w:rPr>
                <w:rFonts w:ascii="calibri" w:hAnsi="calibri" w:cs="calibri" w:eastAsia="calibri"/>
                <w:sz w:val="28"/>
              </w:rPr>
              <w:t>≥2.2N;</w:t>
            </w:r>
            <w:r>
              <w:rPr>
                <w:rFonts w:ascii="宋体" w:hAnsi="宋体" w:cs="宋体" w:eastAsia="宋体"/>
                <w:sz w:val="28"/>
              </w:rPr>
              <w:t>断裂伸长率</w:t>
            </w:r>
            <w:r>
              <w:rPr>
                <w:rFonts w:ascii="calibri" w:hAnsi="calibri" w:cs="calibri" w:eastAsia="calibri"/>
                <w:sz w:val="28"/>
              </w:rPr>
              <w:t>:</w:t>
            </w:r>
            <w:r>
              <w:rPr>
                <w:rFonts w:ascii="宋体" w:hAnsi="宋体" w:cs="宋体" w:eastAsia="宋体"/>
                <w:sz w:val="28"/>
              </w:rPr>
              <w:t>纵向</w:t>
            </w:r>
            <w:r>
              <w:rPr>
                <w:rFonts w:ascii="calibri" w:hAnsi="calibri" w:cs="calibri" w:eastAsia="calibri"/>
                <w:sz w:val="28"/>
              </w:rPr>
              <w:t>300%</w:t>
            </w:r>
            <w:r>
              <w:rPr>
                <w:rFonts w:ascii="宋体" w:hAnsi="宋体" w:cs="宋体" w:eastAsia="宋体"/>
                <w:sz w:val="28"/>
              </w:rPr>
              <w:t>，横向</w:t>
            </w:r>
            <w:r>
              <w:rPr>
                <w:rFonts w:ascii="calibri" w:hAnsi="calibri" w:cs="calibri" w:eastAsia="calibri"/>
                <w:sz w:val="28"/>
              </w:rPr>
              <w:t>≥300%;</w:t>
            </w:r>
            <w:r>
              <w:rPr>
                <w:rFonts w:ascii="宋体" w:hAnsi="宋体" w:cs="宋体" w:eastAsia="宋体"/>
                <w:sz w:val="28"/>
              </w:rPr>
              <w:t>直角撕裂负荷</w:t>
            </w:r>
            <w:r>
              <w:rPr>
                <w:rFonts w:ascii="calibri" w:hAnsi="calibri" w:cs="calibri" w:eastAsia="calibri"/>
                <w:sz w:val="28"/>
              </w:rPr>
              <w:t>:</w:t>
            </w:r>
            <w:r>
              <w:rPr>
                <w:rFonts w:ascii="宋体" w:hAnsi="宋体" w:cs="宋体" w:eastAsia="宋体"/>
                <w:sz w:val="28"/>
              </w:rPr>
              <w:t>纵向</w:t>
            </w:r>
            <w:r>
              <w:rPr>
                <w:rFonts w:ascii="calibri" w:hAnsi="calibri" w:cs="calibri" w:eastAsia="calibri"/>
                <w:sz w:val="28"/>
              </w:rPr>
              <w:t>≥1.2N</w:t>
            </w:r>
            <w:r>
              <w:rPr>
                <w:rFonts w:ascii="宋体" w:hAnsi="宋体" w:cs="宋体" w:eastAsia="宋体"/>
                <w:sz w:val="28"/>
              </w:rPr>
              <w:t>，横向</w:t>
            </w:r>
            <w:r>
              <w:rPr>
                <w:rFonts w:ascii="calibri" w:hAnsi="calibri" w:cs="calibri" w:eastAsia="calibri"/>
                <w:sz w:val="28"/>
              </w:rPr>
              <w:t>≥1.2N;</w:t>
            </w:r>
          </w:p>
          <w:p>
            <w:pPr>
              <w:pStyle w:val="null3"/>
              <w:jc w:val="both"/>
            </w:pPr>
            <w:r>
              <w:rPr>
                <w:rFonts w:ascii="calibri" w:hAnsi="calibri" w:cs="calibri" w:eastAsia="calibri"/>
                <w:sz w:val="28"/>
              </w:rPr>
              <w:t>8</w:t>
            </w:r>
            <w:r>
              <w:rPr>
                <w:rFonts w:ascii="宋体" w:hAnsi="宋体" w:cs="宋体" w:eastAsia="宋体"/>
                <w:sz w:val="28"/>
              </w:rPr>
              <w:t>、有效覆膜时间</w:t>
            </w:r>
            <w:r>
              <w:rPr>
                <w:rFonts w:ascii="calibri" w:hAnsi="calibri" w:cs="calibri" w:eastAsia="calibri"/>
                <w:sz w:val="28"/>
              </w:rPr>
              <w:t>≥180</w:t>
            </w:r>
            <w:r>
              <w:rPr>
                <w:rFonts w:ascii="宋体" w:hAnsi="宋体" w:cs="宋体" w:eastAsia="宋体"/>
                <w:sz w:val="28"/>
              </w:rPr>
              <w:t>天</w:t>
            </w:r>
            <w:r>
              <w:rPr>
                <w:rFonts w:ascii="calibri" w:hAnsi="calibri" w:cs="calibri" w:eastAsia="calibri"/>
                <w:sz w:val="28"/>
              </w:rPr>
              <w:t>;</w:t>
            </w:r>
          </w:p>
          <w:p>
            <w:pPr>
              <w:pStyle w:val="null3"/>
              <w:jc w:val="both"/>
            </w:pPr>
            <w:r>
              <w:rPr>
                <w:rFonts w:ascii="calibri" w:hAnsi="calibri" w:cs="calibri" w:eastAsia="calibri"/>
                <w:sz w:val="28"/>
              </w:rPr>
              <w:t>9</w:t>
            </w:r>
            <w:r>
              <w:rPr>
                <w:rFonts w:ascii="宋体" w:hAnsi="宋体" w:cs="宋体" w:eastAsia="宋体"/>
                <w:sz w:val="28"/>
              </w:rPr>
              <w:t>、耐候性能；Ⅰ类地膜老化后纵向断裂标称应变保留率应不小于</w:t>
            </w:r>
            <w:r>
              <w:rPr>
                <w:rFonts w:ascii="calibri" w:hAnsi="calibri" w:cs="calibri" w:eastAsia="calibri"/>
                <w:sz w:val="28"/>
              </w:rPr>
              <w:t>50%</w:t>
            </w:r>
          </w:p>
          <w:p>
            <w:pPr>
              <w:pStyle w:val="null3"/>
              <w:jc w:val="both"/>
            </w:pPr>
            <w:r>
              <w:rPr>
                <w:rFonts w:ascii="calibri" w:hAnsi="calibri" w:cs="calibri" w:eastAsia="calibri"/>
                <w:sz w:val="28"/>
              </w:rPr>
              <w:t>10</w:t>
            </w:r>
            <w:r>
              <w:rPr>
                <w:rFonts w:ascii="宋体" w:hAnsi="宋体" w:cs="宋体" w:eastAsia="宋体"/>
                <w:sz w:val="28"/>
              </w:rPr>
              <w:t>、包装及规格</w:t>
            </w:r>
            <w:r>
              <w:rPr>
                <w:rFonts w:ascii="calibri" w:hAnsi="calibri" w:cs="calibri" w:eastAsia="calibri"/>
                <w:sz w:val="28"/>
              </w:rPr>
              <w:t>:10</w:t>
            </w:r>
            <w:r>
              <w:rPr>
                <w:rFonts w:ascii="宋体" w:hAnsi="宋体" w:cs="宋体" w:eastAsia="宋体"/>
                <w:sz w:val="28"/>
              </w:rPr>
              <w:t>公斤包装</w:t>
            </w:r>
            <w:r>
              <w:rPr>
                <w:rFonts w:ascii="calibri" w:hAnsi="calibri" w:cs="calibri" w:eastAsia="calibri"/>
                <w:sz w:val="28"/>
              </w:rPr>
              <w:t>(</w:t>
            </w:r>
            <w:r>
              <w:rPr>
                <w:rFonts w:ascii="宋体" w:hAnsi="宋体" w:cs="宋体" w:eastAsia="宋体"/>
                <w:sz w:val="28"/>
              </w:rPr>
              <w:t>每卷净质量偏差</w:t>
            </w:r>
            <w:r>
              <w:rPr>
                <w:rFonts w:ascii="calibri" w:hAnsi="calibri" w:cs="calibri" w:eastAsia="calibri"/>
                <w:sz w:val="28"/>
              </w:rPr>
              <w:t>+0.25;-0.10kg)</w:t>
            </w:r>
            <w:r>
              <w:rPr>
                <w:rFonts w:ascii="宋体" w:hAnsi="宋体" w:cs="宋体" w:eastAsia="宋体"/>
                <w:sz w:val="28"/>
              </w:rPr>
              <w:t>，每卷膜的内包装应附产品合格证，内容包括产品名称、类别、宽度、厚度、长度、净质量、质量等级、生产日期、生产厂名、生产厂地址、每卷膜的外包装应在明显的位置标有</w:t>
            </w:r>
            <w:r>
              <w:rPr>
                <w:rFonts w:ascii="calibri" w:hAnsi="calibri" w:cs="calibri" w:eastAsia="calibri"/>
                <w:sz w:val="28"/>
              </w:rPr>
              <w:t>“</w:t>
            </w:r>
            <w:r>
              <w:rPr>
                <w:rFonts w:ascii="宋体" w:hAnsi="宋体" w:cs="宋体" w:eastAsia="宋体"/>
                <w:sz w:val="28"/>
              </w:rPr>
              <w:t>使用后请回收利用，减少环境污染</w:t>
            </w:r>
            <w:r>
              <w:rPr>
                <w:rFonts w:ascii="宋体" w:hAnsi="宋体" w:cs="宋体" w:eastAsia="宋体"/>
                <w:sz w:val="28"/>
              </w:rPr>
              <w:t>及</w:t>
            </w:r>
            <w:r>
              <w:rPr>
                <w:rFonts w:ascii="calibri" w:hAnsi="calibri" w:cs="calibri" w:eastAsia="calibri"/>
                <w:sz w:val="28"/>
              </w:rPr>
              <w:t>“</w:t>
            </w:r>
            <w:r>
              <w:rPr>
                <w:rFonts w:ascii="宋体" w:hAnsi="宋体" w:cs="宋体" w:eastAsia="宋体"/>
                <w:sz w:val="28"/>
              </w:rPr>
              <w:t>政府采购地膜</w:t>
            </w:r>
            <w:r>
              <w:rPr>
                <w:rFonts w:ascii="calibri" w:hAnsi="calibri" w:cs="calibri" w:eastAsia="calibri"/>
                <w:sz w:val="28"/>
              </w:rPr>
              <w:t>”</w:t>
            </w:r>
            <w:r>
              <w:rPr>
                <w:rFonts w:ascii="宋体" w:hAnsi="宋体" w:cs="宋体" w:eastAsia="宋体"/>
                <w:sz w:val="28"/>
              </w:rPr>
              <w:t>字样。提供相关证明材料</w:t>
            </w:r>
            <w:r>
              <w:rPr>
                <w:rFonts w:ascii="calibri" w:hAnsi="calibri" w:cs="calibri" w:eastAsia="calibri"/>
                <w:sz w:val="28"/>
              </w:rPr>
              <w:t>(</w:t>
            </w:r>
            <w:r>
              <w:rPr>
                <w:rFonts w:ascii="宋体" w:hAnsi="宋体" w:cs="宋体" w:eastAsia="宋体"/>
                <w:sz w:val="28"/>
              </w:rPr>
              <w:t>包含但不限于半年内有效的第三方检验报告等</w:t>
            </w:r>
            <w:r>
              <w:rPr>
                <w:rFonts w:ascii="calibri" w:hAnsi="calibri" w:cs="calibri" w:eastAsia="calibri"/>
                <w:sz w:val="28"/>
              </w:rPr>
              <w:t>)</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合同签订后30日历天</w:t>
      </w:r>
    </w:p>
    <w:p>
      <w:pPr>
        <w:pStyle w:val="null3"/>
      </w:pPr>
      <w:r>
        <w:rPr/>
        <w:t>采购包2：</w:t>
      </w:r>
    </w:p>
    <w:p>
      <w:pPr>
        <w:pStyle w:val="null3"/>
      </w:pPr>
      <w:r>
        <w:rPr/>
        <w:t>合同签订后30日历天</w:t>
      </w:r>
    </w:p>
    <w:p>
      <w:pPr>
        <w:pStyle w:val="null3"/>
        <w:outlineLvl w:val="3"/>
      </w:pPr>
      <w:r>
        <w:rPr>
          <w:sz w:val="24"/>
          <w:b/>
        </w:rPr>
        <w:t>3.4.2交货地点</w:t>
      </w:r>
    </w:p>
    <w:p>
      <w:pPr>
        <w:pStyle w:val="null3"/>
      </w:pPr>
      <w:r>
        <w:rPr/>
        <w:t>采购包1：</w:t>
      </w:r>
    </w:p>
    <w:p>
      <w:pPr>
        <w:pStyle w:val="null3"/>
      </w:pPr>
      <w:r>
        <w:rPr/>
        <w:t>甲方指定地点</w:t>
      </w:r>
    </w:p>
    <w:p>
      <w:pPr>
        <w:pStyle w:val="null3"/>
      </w:pPr>
      <w:r>
        <w:rPr/>
        <w:t>采购包2：</w:t>
      </w:r>
    </w:p>
    <w:p>
      <w:pPr>
        <w:pStyle w:val="null3"/>
      </w:pPr>
      <w:r>
        <w:rPr/>
        <w:t>甲方指定地点</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50.00</w:t>
      </w:r>
      <w:r>
        <w:rPr/>
        <w:t>%。</w:t>
      </w:r>
    </w:p>
    <w:p>
      <w:pPr>
        <w:pStyle w:val="null3"/>
      </w:pPr>
      <w:r>
        <w:rPr/>
        <w:t>采购包1：</w:t>
      </w:r>
      <w:r>
        <w:rPr/>
        <w:t xml:space="preserve"> 付款条件说明： </w:t>
      </w:r>
      <w:r>
        <w:rPr/>
        <w:t>货物验收合格后</w:t>
      </w:r>
      <w:r>
        <w:rPr/>
        <w:t xml:space="preserve"> ，达到付款条件起 </w:t>
      </w:r>
      <w:r>
        <w:rPr/>
        <w:t>7</w:t>
      </w:r>
      <w:r>
        <w:rPr/>
        <w:t xml:space="preserve"> 日内，支付合同总金额的 </w:t>
      </w:r>
      <w:r>
        <w:rPr/>
        <w:t>50.00</w:t>
      </w:r>
      <w:r>
        <w:rPr/>
        <w:t>%。</w:t>
      </w:r>
    </w:p>
    <w:p>
      <w:pPr>
        <w:pStyle w:val="null3"/>
      </w:pPr>
      <w:r>
        <w:rPr/>
        <w:t>采购包2：</w:t>
      </w:r>
      <w:r>
        <w:rPr/>
        <w:t xml:space="preserve"> 付款条件说明： </w:t>
      </w:r>
      <w:r>
        <w:rPr/>
        <w:t>合同签订后</w:t>
      </w:r>
      <w:r>
        <w:rPr/>
        <w:t xml:space="preserve"> ，达到付款条件起 </w:t>
      </w:r>
      <w:r>
        <w:rPr/>
        <w:t>7</w:t>
      </w:r>
      <w:r>
        <w:rPr/>
        <w:t xml:space="preserve"> 日内，支付合同总金额的 </w:t>
      </w:r>
      <w:r>
        <w:rPr/>
        <w:t>50.00</w:t>
      </w:r>
      <w:r>
        <w:rPr/>
        <w:t>%。</w:t>
      </w:r>
    </w:p>
    <w:p>
      <w:pPr>
        <w:pStyle w:val="null3"/>
      </w:pPr>
      <w:r>
        <w:rPr/>
        <w:t>采购包2：</w:t>
      </w:r>
      <w:r>
        <w:rPr/>
        <w:t xml:space="preserve"> 付款条件说明： </w:t>
      </w:r>
      <w:r>
        <w:rPr/>
        <w:t>货物验收合格后</w:t>
      </w:r>
      <w:r>
        <w:rPr/>
        <w:t xml:space="preserve"> ，达到付款条件起 </w:t>
      </w:r>
      <w:r>
        <w:rPr/>
        <w:t>7</w:t>
      </w:r>
      <w:r>
        <w:rPr/>
        <w:t xml:space="preserve"> 日内，支付合同总金额的 </w:t>
      </w:r>
      <w:r>
        <w:rPr/>
        <w:t>50.00</w:t>
      </w:r>
      <w:r>
        <w:rPr/>
        <w:t>%。</w:t>
      </w:r>
    </w:p>
    <w:p>
      <w:pPr>
        <w:pStyle w:val="null3"/>
        <w:outlineLvl w:val="3"/>
      </w:pPr>
      <w:r>
        <w:rPr>
          <w:sz w:val="24"/>
          <w:b/>
        </w:rPr>
        <w:t>3.4.5验收标准和方法</w:t>
      </w:r>
    </w:p>
    <w:p>
      <w:pPr>
        <w:pStyle w:val="null3"/>
      </w:pPr>
      <w:r>
        <w:rPr/>
        <w:t>采购包1：</w:t>
      </w:r>
    </w:p>
    <w:p>
      <w:pPr>
        <w:pStyle w:val="null3"/>
      </w:pPr>
      <w:r>
        <w:rPr/>
        <w:t>1.货物到达交货地点后，由使用单位根据合同对货物的名称、品牌、规格、产地、进行检查。由采购人进行验收，合格后签发《验收合格单》。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3.2产品的合法来源渠道证明文件、证明材料； 3.3招标文件； 3.4中标人的投标文件； 3.5货物清单； 3.6生产厂家的企业资质、货物的执行标准。</w:t>
      </w:r>
    </w:p>
    <w:p>
      <w:pPr>
        <w:pStyle w:val="null3"/>
      </w:pPr>
      <w:r>
        <w:rPr/>
        <w:t>采购包2：</w:t>
      </w:r>
    </w:p>
    <w:p>
      <w:pPr>
        <w:pStyle w:val="null3"/>
      </w:pPr>
      <w:r>
        <w:rPr/>
        <w:t>1.货物到达交货地点后，由使用单位根据合同对货物的名称、品牌、规格、产地、进行检查。由采购人进行验收，合格后签发《验收合格单》。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3.2产品的合法来源渠道证明文件、证明材料； 3.3招标文件； 3.4中标人的投标文件； 3.5货物清单； 3.6生产厂家的企业资质、货物的执行标准。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所有产品质量必须符合国家有关规范和相关政策。所有货物必须是未使用过的新产品，质量优良、渠道正当。</w:t>
      </w:r>
    </w:p>
    <w:p>
      <w:pPr>
        <w:pStyle w:val="null3"/>
      </w:pPr>
      <w:r>
        <w:rPr/>
        <w:t>采购包2：</w:t>
      </w:r>
    </w:p>
    <w:p>
      <w:pPr>
        <w:pStyle w:val="null3"/>
      </w:pPr>
      <w:r>
        <w:rPr/>
        <w:t>所有产品质量必须符合国家有关规范和相关政策。所有货物必须是未使用过的新产品，质量优良、渠道正当。</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t>采购包2：</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提供经审计的2022年或2023年财务报告，包括 “四表一 注”（即资产负债表、利润表、现金流量表、所有者权益变动表（ 没有可不提供）及其附注，成立时间至提交响应文 件截止时间不足一年的可提供成立后任意时段的资产负债表）或在开标日期前六个月内其开户银行出具的资信证明 ，以上两种形式的资料提供任何一种即可（分支机构如无 法提供财务审计报告 ，须出具包含分支机构的财务数据的总公司财务审计报告）；事业单位零余额账户提供相应证明；供应商需在项目电子化交易系统中按要求上传相应证明文件并进行电子签章。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 xml:space="preserve"> 提供经审计的2022年或2023年财务报告，包括 “四表一 注”（即资产负债表、利润表、现金流量表、所有者权益变动表（ 没有可不提供）及其附注，成立时间至提交响应文 件截止时间不足一年的可提供成立后任意时段的资产负债表）或在开标日期前六个月内其开户银行出具的资信证明 ，以上两种形式的资料提供任何一种即可（分支机构如无 法提供财务审计报告 ，须出具包含分支机构的财务数据的总公司财务审计报告）；事业单位零余额账户提供相应证明；供应商需在项目电子化交易系统中按要求上传相应证明文件并进行电子签章。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 等主体资 格证明文件</w:t>
            </w:r>
          </w:p>
        </w:tc>
        <w:tc>
          <w:tcPr>
            <w:tcW w:type="dxa" w:w="3322"/>
          </w:tcPr>
          <w:p>
            <w:pPr>
              <w:pStyle w:val="null3"/>
            </w:pPr>
            <w:r>
              <w:rPr/>
              <w:t>具有独立承担民事责任能力的法人或其他组织，提供有效存续的营业执照或事业单位法人证书或非企业专业服务机构执业许可证或民办非企业单位登记证书或自然人的身份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税收缴纳证明</w:t>
            </w:r>
          </w:p>
        </w:tc>
        <w:tc>
          <w:tcPr>
            <w:tcW w:type="dxa" w:w="3322"/>
          </w:tcPr>
          <w:p>
            <w:pPr>
              <w:pStyle w:val="null3"/>
            </w:pPr>
            <w:r>
              <w:rPr/>
              <w:t>提供已缴纳的2023年1月至今任意一个月的纳税证明或完 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已缴存的2023年1月至今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无重大违法记录书面声明</w:t>
            </w:r>
          </w:p>
        </w:tc>
        <w:tc>
          <w:tcPr>
            <w:tcW w:type="dxa" w:w="3322"/>
          </w:tcPr>
          <w:p>
            <w:pPr>
              <w:pStyle w:val="null3"/>
            </w:pPr>
            <w:r>
              <w:rPr/>
              <w:t>供应商须出具参加本次政府采购活动前三年内在经营活动中没有重大违法记录的书面声明；供应商需在项目电子化交易系统中按要求上传相应证明文件并进行电子签章。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供应商须提供具有履行合同所必需的设备和专业技术能力的承诺；供应商需在项目电子化交易系统中按要求上传相应证明文件并进行电子签章。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法人身份证明或法人授权书</w:t>
            </w:r>
          </w:p>
        </w:tc>
        <w:tc>
          <w:tcPr>
            <w:tcW w:type="dxa" w:w="3322"/>
          </w:tcPr>
          <w:p>
            <w:pPr>
              <w:pStyle w:val="null3"/>
            </w:pPr>
            <w:r>
              <w:rPr/>
              <w:t>法定代表人参加投标的提供法定代表人身份证明及身份证 ，委托代理人参加投标的提供授权委托书及委托代理人身份证； 自然人只需提供身份证；备注：分支机构由分支机构负责人授权即可；供应商需在项目电子化交易系统中按要求上传相应证明文件并进行电子签章。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具有良好的商业信誉</w:t>
            </w:r>
          </w:p>
        </w:tc>
        <w:tc>
          <w:tcPr>
            <w:tcW w:type="dxa" w:w="3322"/>
          </w:tcPr>
          <w:p>
            <w:pPr>
              <w:pStyle w:val="null3"/>
            </w:pPr>
            <w:r>
              <w:rPr/>
              <w:t>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供应商需在项目电子化交易系统中按要求上传相应证明文件并进行电子签章。</w:t>
            </w:r>
          </w:p>
        </w:tc>
        <w:tc>
          <w:tcPr>
            <w:tcW w:type="dxa" w:w="1661"/>
          </w:tcPr>
          <w:p>
            <w:pPr>
              <w:pStyle w:val="null3"/>
            </w:pPr>
            <w:r>
              <w:rPr/>
              <w:t>投标人应提交的相关资格证明材料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 等主体资 格证明文件</w:t>
            </w:r>
          </w:p>
        </w:tc>
        <w:tc>
          <w:tcPr>
            <w:tcW w:type="dxa" w:w="3322"/>
          </w:tcPr>
          <w:p>
            <w:pPr>
              <w:pStyle w:val="null3"/>
            </w:pPr>
            <w:r>
              <w:rPr/>
              <w:t>具有独立承担民事责任能力的法人或其他组织，提供有效存续的营业执照或事业单位法人证书或非企业专业服务机构执业许可证或民办非企业单位登记证书或自然人的身份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税收缴纳证明</w:t>
            </w:r>
          </w:p>
        </w:tc>
        <w:tc>
          <w:tcPr>
            <w:tcW w:type="dxa" w:w="3322"/>
          </w:tcPr>
          <w:p>
            <w:pPr>
              <w:pStyle w:val="null3"/>
            </w:pPr>
            <w:r>
              <w:rPr/>
              <w:t>提供已缴纳的2023年1月至今任意一个月的纳税证明或完 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已缴存的2023年1月至今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无重大违法记录书面声明</w:t>
            </w:r>
          </w:p>
        </w:tc>
        <w:tc>
          <w:tcPr>
            <w:tcW w:type="dxa" w:w="3322"/>
          </w:tcPr>
          <w:p>
            <w:pPr>
              <w:pStyle w:val="null3"/>
            </w:pPr>
            <w:r>
              <w:rPr/>
              <w:t>供应商须出具参加本次政府采购活动前三年内在经营活动中没有重大违法记录的书面声明；供应商需在项目电子化交易系统中按要求上传相应证明文件并进行电子签章。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供应商须提供具有履行合同所必需的设备和专业技术能力的承诺；供应商需在项目电子化交易系统中按要求上传相应证明文件并进行电子签章。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法人身份证明或法人授权书</w:t>
            </w:r>
          </w:p>
        </w:tc>
        <w:tc>
          <w:tcPr>
            <w:tcW w:type="dxa" w:w="3322"/>
          </w:tcPr>
          <w:p>
            <w:pPr>
              <w:pStyle w:val="null3"/>
            </w:pPr>
            <w:r>
              <w:rPr/>
              <w:t>法定代表人参加投标的提供法定代表人身份证明及身份证 ，委托代理人参加投标的提供授权委托书及委托代理人身份证； 自然人只需提供身份证；备注：分支机构由分支机构负责人授权即可；供应商需在项目电子化交易系统中按要求上传相应证明文件并进行电子签章。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具有良好的商业信誉</w:t>
            </w:r>
          </w:p>
        </w:tc>
        <w:tc>
          <w:tcPr>
            <w:tcW w:type="dxa" w:w="3322"/>
          </w:tcPr>
          <w:p>
            <w:pPr>
              <w:pStyle w:val="null3"/>
            </w:pPr>
            <w:r>
              <w:rPr/>
              <w:t>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供应商需在项目电子化交易系统中按要求上传相应证明文件并进行电子签章。</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投标人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t>开标一览表 中小企业声明函 商务应答表 技术方案 法人授权书 投标人应提交的相关资格证明材料 产品技术参数表 法人证明书 投标函 残疾人福利性单位声明函 标的清单 投标文件封面 供应商类似项目业绩一览表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投标文件所有报价未超过最高限价</w:t>
            </w:r>
          </w:p>
        </w:tc>
        <w:tc>
          <w:tcPr>
            <w:tcW w:type="dxa" w:w="1661"/>
          </w:tcPr>
          <w:p>
            <w:pPr>
              <w:pStyle w:val="null3"/>
            </w:pPr>
            <w:r>
              <w:rPr/>
              <w:t>开标一览表 投标函 标的清单</w:t>
            </w:r>
          </w:p>
        </w:tc>
      </w:tr>
      <w:tr>
        <w:tc>
          <w:tcPr>
            <w:tcW w:type="dxa" w:w="831"/>
          </w:tcPr>
          <w:p>
            <w:pPr>
              <w:pStyle w:val="null3"/>
            </w:pPr>
            <w:r>
              <w:rPr/>
              <w:t>4</w:t>
            </w:r>
          </w:p>
        </w:tc>
        <w:tc>
          <w:tcPr>
            <w:tcW w:type="dxa" w:w="2492"/>
          </w:tcPr>
          <w:p>
            <w:pPr>
              <w:pStyle w:val="null3"/>
            </w:pPr>
            <w:r>
              <w:rPr/>
              <w:t>合同履行期限</w:t>
            </w:r>
          </w:p>
        </w:tc>
        <w:tc>
          <w:tcPr>
            <w:tcW w:type="dxa" w:w="3322"/>
          </w:tcPr>
          <w:p>
            <w:pPr>
              <w:pStyle w:val="null3"/>
            </w:pPr>
            <w:r>
              <w:rPr/>
              <w:t>符合招标文件要求</w:t>
            </w:r>
          </w:p>
        </w:tc>
        <w:tc>
          <w:tcPr>
            <w:tcW w:type="dxa" w:w="1661"/>
          </w:tcPr>
          <w:p>
            <w:pPr>
              <w:pStyle w:val="null3"/>
            </w:pPr>
            <w:r>
              <w:rPr/>
              <w:t>投标函 商务应答表 标的清单</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提交首次投标文件的截止之日起不少于90天</w:t>
            </w:r>
          </w:p>
        </w:tc>
        <w:tc>
          <w:tcPr>
            <w:tcW w:type="dxa" w:w="1661"/>
          </w:tcPr>
          <w:p>
            <w:pPr>
              <w:pStyle w:val="null3"/>
            </w:pPr>
            <w:r>
              <w:rPr/>
              <w:t>开标一览表 投标函 商务应答表 标的清单 法人授权书</w:t>
            </w:r>
          </w:p>
        </w:tc>
      </w:tr>
      <w:tr>
        <w:tc>
          <w:tcPr>
            <w:tcW w:type="dxa" w:w="831"/>
          </w:tcPr>
          <w:p>
            <w:pPr>
              <w:pStyle w:val="null3"/>
            </w:pPr>
            <w:r>
              <w:rPr/>
              <w:t>6</w:t>
            </w:r>
          </w:p>
        </w:tc>
        <w:tc>
          <w:tcPr>
            <w:tcW w:type="dxa" w:w="2492"/>
          </w:tcPr>
          <w:p>
            <w:pPr>
              <w:pStyle w:val="null3"/>
            </w:pPr>
            <w:r>
              <w:rPr/>
              <w:t>其他</w:t>
            </w:r>
          </w:p>
        </w:tc>
        <w:tc>
          <w:tcPr>
            <w:tcW w:type="dxa" w:w="3322"/>
          </w:tcPr>
          <w:p>
            <w:pPr>
              <w:pStyle w:val="null3"/>
            </w:pPr>
            <w:r>
              <w:rPr/>
              <w:t>A、投标人的投标报价有选择性报价或者投标报价重新计算后超过本项目采购预算或者最高限价的； B、投标人未经过正常渠道领取招标文件，或投标人名称与领取招标文件时登记的投标人不符的；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t>开标一览表 中小企业声明函 商务应答表 技术方案 法人授权书 投标人应提交的相关资格证明材料 产品技术参数表 法人证明书 投标函 残疾人福利性单位声明函 标的清单 投标文件封面 供应商类似项目业绩一览表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投标人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t>开标一览表 中小企业声明函 商务应答表 技术方案 法人授权书 投标人应提交的相关资格证明材料 产品技术参数表 法人证明书 投标函 残疾人福利性单位声明函 标的清单 投标文件封面 供应商类似项目业绩一览表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投标文件所有报价未超过最高限价</w:t>
            </w:r>
          </w:p>
        </w:tc>
        <w:tc>
          <w:tcPr>
            <w:tcW w:type="dxa" w:w="1661"/>
          </w:tcPr>
          <w:p>
            <w:pPr>
              <w:pStyle w:val="null3"/>
            </w:pPr>
            <w:r>
              <w:rPr/>
              <w:t>开标一览表 投标函 标的清单</w:t>
            </w:r>
          </w:p>
        </w:tc>
      </w:tr>
      <w:tr>
        <w:tc>
          <w:tcPr>
            <w:tcW w:type="dxa" w:w="831"/>
          </w:tcPr>
          <w:p>
            <w:pPr>
              <w:pStyle w:val="null3"/>
            </w:pPr>
            <w:r>
              <w:rPr/>
              <w:t>4</w:t>
            </w:r>
          </w:p>
        </w:tc>
        <w:tc>
          <w:tcPr>
            <w:tcW w:type="dxa" w:w="2492"/>
          </w:tcPr>
          <w:p>
            <w:pPr>
              <w:pStyle w:val="null3"/>
            </w:pPr>
            <w:r>
              <w:rPr/>
              <w:t>合同履行期限</w:t>
            </w:r>
          </w:p>
        </w:tc>
        <w:tc>
          <w:tcPr>
            <w:tcW w:type="dxa" w:w="3322"/>
          </w:tcPr>
          <w:p>
            <w:pPr>
              <w:pStyle w:val="null3"/>
            </w:pPr>
            <w:r>
              <w:rPr/>
              <w:t>符合招标文件要求</w:t>
            </w:r>
          </w:p>
        </w:tc>
        <w:tc>
          <w:tcPr>
            <w:tcW w:type="dxa" w:w="1661"/>
          </w:tcPr>
          <w:p>
            <w:pPr>
              <w:pStyle w:val="null3"/>
            </w:pPr>
            <w:r>
              <w:rPr/>
              <w:t>开标一览表 投标函 商务应答表 标的清单</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提交首次投标文件的截止之日起不少于90天</w:t>
            </w:r>
          </w:p>
        </w:tc>
        <w:tc>
          <w:tcPr>
            <w:tcW w:type="dxa" w:w="1661"/>
          </w:tcPr>
          <w:p>
            <w:pPr>
              <w:pStyle w:val="null3"/>
            </w:pPr>
            <w:r>
              <w:rPr/>
              <w:t>开标一览表 投标函 商务应答表 标的清单 法人授权书</w:t>
            </w:r>
          </w:p>
        </w:tc>
      </w:tr>
      <w:tr>
        <w:tc>
          <w:tcPr>
            <w:tcW w:type="dxa" w:w="831"/>
          </w:tcPr>
          <w:p>
            <w:pPr>
              <w:pStyle w:val="null3"/>
            </w:pPr>
            <w:r>
              <w:rPr/>
              <w:t>6</w:t>
            </w:r>
          </w:p>
        </w:tc>
        <w:tc>
          <w:tcPr>
            <w:tcW w:type="dxa" w:w="2492"/>
          </w:tcPr>
          <w:p>
            <w:pPr>
              <w:pStyle w:val="null3"/>
            </w:pPr>
            <w:r>
              <w:rPr/>
              <w:t>其他</w:t>
            </w:r>
          </w:p>
        </w:tc>
        <w:tc>
          <w:tcPr>
            <w:tcW w:type="dxa" w:w="3322"/>
          </w:tcPr>
          <w:p>
            <w:pPr>
              <w:pStyle w:val="null3"/>
            </w:pPr>
            <w:r>
              <w:rPr/>
              <w:t>A、投标人的投标报价有选择性报价或者投标报价重新计算后超过本项目采购预算或者最高限价的； B、投标人未经过正常渠道领取招标文件，或投标人名称与领取招标文件时登记的投标人不符的；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t>开标一览表 中小企业声明函 商务应答表 技术方案 法人授权书 投标人应提交的相关资格证明材料 产品技术参数表 法人证明书 投标函 残疾人福利性单位声明函 标的清单 投标文件封面 供应商类似项目业绩一览表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完全符合、满足招标文件技术要求的计10分，每有一项不满足的扣1分，基本分扣完为止。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项目实施方案</w:t>
            </w:r>
          </w:p>
        </w:tc>
        <w:tc>
          <w:tcPr>
            <w:tcW w:type="dxa" w:w="2492"/>
          </w:tcPr>
          <w:p>
            <w:pPr>
              <w:pStyle w:val="null3"/>
            </w:pPr>
            <w:r>
              <w:rPr/>
              <w:t>项目实施方案：备货、供货进度及保证措施，质量检测措施，安全保障措施，应急处理措施。 ①方案内容齐全、完整、全面、详细的计12分； ②方案内容一项欠缺或措施内容不具体的计8分； ③方案内容有两项欠缺或有框架，无实质性内容的计4分； ④方案内容有三项以上缺项的或只用简单话语概括的计1分； ⑤未提供项目实施方案不计分。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产品渠道</w:t>
            </w:r>
          </w:p>
        </w:tc>
        <w:tc>
          <w:tcPr>
            <w:tcW w:type="dxa" w:w="2492"/>
          </w:tcPr>
          <w:p>
            <w:pPr>
              <w:pStyle w:val="null3"/>
            </w:pPr>
            <w:r>
              <w:rPr/>
              <w:t>能提供所投产品的合法来源渠道证明文件（包括但不限于产品制造商授权、销售协议、代理协议、原厂授权等）的计5分，不提供不计分。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质量保证</w:t>
            </w:r>
          </w:p>
        </w:tc>
        <w:tc>
          <w:tcPr>
            <w:tcW w:type="dxa" w:w="2492"/>
          </w:tcPr>
          <w:p>
            <w:pPr>
              <w:pStyle w:val="null3"/>
            </w:pPr>
            <w:r>
              <w:rPr/>
              <w:t>所投产品制造厂家有可靠、完善的管理制度；有足够的设计、工艺、加工、检验能力；所投产品符合国际、国内相关标准，有具体可行的质量保证承诺，保证使用单位能熟练操作维护和正常使用。 ①内容具体、完整、详细、全面的计10分； ②内容一项欠缺或内容不具体或条理不清晰的计7分； ③内容有两项欠缺或有框架，无实质性内容的计4分； ④内容有严重缺项的或只用简单话语概括的计1分； ⑤未提供项目实施方案不计分。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履约能力</w:t>
            </w:r>
          </w:p>
        </w:tc>
        <w:tc>
          <w:tcPr>
            <w:tcW w:type="dxa" w:w="2492"/>
          </w:tcPr>
          <w:p>
            <w:pPr>
              <w:pStyle w:val="null3"/>
            </w:pPr>
            <w:r>
              <w:rPr/>
              <w:t>履约能力承诺详细、具体,包括但不限于资金筹措、仓储设施、运输工具、人员素质、管理水平等方面； ①履约能力内容详细、全面的计6分； ②只有框架，无实质性内容的或条理不清晰的计3分； ③内容缺项的或只有简单概括的计1分； ④没有履约能力的不计分。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售后服务方案</w:t>
            </w:r>
          </w:p>
        </w:tc>
        <w:tc>
          <w:tcPr>
            <w:tcW w:type="dxa" w:w="2492"/>
          </w:tcPr>
          <w:p>
            <w:pPr>
              <w:pStyle w:val="null3"/>
            </w:pPr>
            <w:r>
              <w:rPr/>
              <w:t>售后服务方案：售后服务网点的设定、拟投入售后服务人员配置情况、日常维护、项目交付用户后出现问题响应时间及措施，质量保证范围。 ①售后服务方案内容具体、完整、详细、全面的计12分； ②售后服务方案内容缺项的或内容有瑕疵的或只有框架的计8分； ③售后服务方案内容2项以上欠缺、薄弱或内容描述不清晰、不具体的计4分； ④售后服务方案内容只有简单框架的计1分； ⑤未提供售后服务方案不得分。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培训方案：培训方式、时间、地点、人员、培训内容。 ①培训方案内容具体、完整、详细、全面、可行的计5分； ②培训方案内容简单，内容缺项的计3分； ③培训方案内容未详细描述方式或时间地点不明确的计1分； ④未提供培训服务方案不得分。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以合同形式提供投标人2021年1月至今同类项目业绩（以合同签订日期为准），（业绩以合同复印件为依据）每份计2分，计满10分为止。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完全符合、满足招标文件技术要求的计10分，每有一项不满足的扣1分，基本分扣完为止。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项目实施方案</w:t>
            </w:r>
          </w:p>
        </w:tc>
        <w:tc>
          <w:tcPr>
            <w:tcW w:type="dxa" w:w="2492"/>
          </w:tcPr>
          <w:p>
            <w:pPr>
              <w:pStyle w:val="null3"/>
            </w:pPr>
            <w:r>
              <w:rPr/>
              <w:t>项目实施方案：备货、供货进度及保证措施，质量检测措施，安全保障措施，应急处理措施。 ①方案内容齐全、完整、全面、详细的计12分； ②方案内容一项欠缺或措施内容不具体的计8分； ③方案内容有两项欠缺或有框架，无实质性内容的计4分； ④方案内容有三项以上缺项的或只用简单话语概括的计1分； ⑤未提供项目实施方案不计分。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产品渠道</w:t>
            </w:r>
          </w:p>
        </w:tc>
        <w:tc>
          <w:tcPr>
            <w:tcW w:type="dxa" w:w="2492"/>
          </w:tcPr>
          <w:p>
            <w:pPr>
              <w:pStyle w:val="null3"/>
            </w:pPr>
            <w:r>
              <w:rPr/>
              <w:t>能提供所投产品的合法来源渠道证明文件（包括但不限于产品制造商授权、销售协议、代理协议、原厂授权等）的计5分，不提供不计分。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质量保证</w:t>
            </w:r>
          </w:p>
        </w:tc>
        <w:tc>
          <w:tcPr>
            <w:tcW w:type="dxa" w:w="2492"/>
          </w:tcPr>
          <w:p>
            <w:pPr>
              <w:pStyle w:val="null3"/>
            </w:pPr>
            <w:r>
              <w:rPr/>
              <w:t>所投产品制造厂家有可靠、完善的管理制度；有足够的设计、工艺、加工、检验能力；所投产品符合国际、国内相关标准，有具体可行的质量保证承诺，保证使用单位能熟练操作维护和正常使用。 ①内容具体、完整、详细、全面的计10分； ②内容一项欠缺或内容不具体或条理不清晰的计7分； ③内容有两项欠缺或有框架，无实质性内容的计4分； ④内容有严重缺项的或只用简单话语概括的计1分； ⑤未提供项目实施方案不计分。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履约能力</w:t>
            </w:r>
          </w:p>
        </w:tc>
        <w:tc>
          <w:tcPr>
            <w:tcW w:type="dxa" w:w="2492"/>
          </w:tcPr>
          <w:p>
            <w:pPr>
              <w:pStyle w:val="null3"/>
            </w:pPr>
            <w:r>
              <w:rPr/>
              <w:t>履约能力承诺详细、具体,包括但不限于资金筹措、仓储设施、运输工具、人员素质、管理水平等方面； ①履约能力内容详细、全面的计6分； ②只有框架，无实质性内容的或条理不清晰的计3分； ③内容缺项的或只有简单概括的计1分； ④没有履约能力的不计分。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售后服务方案</w:t>
            </w:r>
          </w:p>
        </w:tc>
        <w:tc>
          <w:tcPr>
            <w:tcW w:type="dxa" w:w="2492"/>
          </w:tcPr>
          <w:p>
            <w:pPr>
              <w:pStyle w:val="null3"/>
            </w:pPr>
            <w:r>
              <w:rPr/>
              <w:t>售后服务方案：售后服务网点的设定、拟投入售后服务人员配置情况、日常维护、项目交付用户后出现问题响应时间及措施，质量保证范围。 ①售后服务方案内容具体、完整、详细、全面的计12分； ②售后服务方案内容缺项的或内容有瑕疵的或只有框架的计8分； ③售后服务方案内容2项以上欠缺、薄弱或内容描述不清晰、不具体的计4分； ④售后服务方案内容只有简单框架的计1分； ⑤未提供售后服务方案不得分。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培训方案：培训方式、时间、地点、人员、培训内容。 ①培训方案内容具体、完整、详细、全面、可行的计5分； ②培训方案内容简单，内容缺项的计3分； ③培训方案内容未详细描述方式或时间地点不明确的计1分； ④未提供培训服务方案不得分。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以合同形式提供投标人2021年1月至今同类项目业绩（以合同签订日期为准），（业绩以合同复印件为依据）每份计2分，计满10分为止。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详见附件：法人证明书</w:t>
      </w:r>
    </w:p>
    <w:p>
      <w:pPr>
        <w:pStyle w:val="null3"/>
        <w:ind w:firstLine="960"/>
      </w:pPr>
      <w:r>
        <w:rPr/>
        <w:t>详见附件：法人授权书</w:t>
      </w:r>
    </w:p>
    <w:p>
      <w:pPr>
        <w:pStyle w:val="null3"/>
        <w:ind w:firstLine="960"/>
      </w:pPr>
      <w:r>
        <w:rPr/>
        <w:t>详见附件：技术方案</w:t>
      </w:r>
    </w:p>
    <w:p>
      <w:pPr>
        <w:pStyle w:val="null3"/>
        <w:ind w:firstLine="960"/>
      </w:pPr>
      <w:r>
        <w:rPr/>
        <w:t>详见附件：供应商类似项目业绩一览表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详见附件：法人证明书</w:t>
      </w:r>
    </w:p>
    <w:p>
      <w:pPr>
        <w:pStyle w:val="null3"/>
        <w:ind w:firstLine="960"/>
      </w:pPr>
      <w:r>
        <w:rPr/>
        <w:t>详见附件：法人授权书</w:t>
      </w:r>
    </w:p>
    <w:p>
      <w:pPr>
        <w:pStyle w:val="null3"/>
        <w:ind w:firstLine="960"/>
      </w:pPr>
      <w:r>
        <w:rPr/>
        <w:t>详见附件：技术方案</w:t>
      </w:r>
    </w:p>
    <w:p>
      <w:pPr>
        <w:pStyle w:val="null3"/>
        <w:ind w:firstLine="960"/>
      </w:pPr>
      <w:r>
        <w:rPr/>
        <w:t>详见附件：供应商类似项目业绩一览表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详见附件：货物--合同附件.docx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