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未成年人法治教育中心建设项目工程建设</w:t>
      </w:r>
    </w:p>
    <w:p>
      <w:pPr>
        <w:pStyle w:val="null3"/>
        <w:jc w:val="center"/>
        <w:outlineLvl w:val="2"/>
      </w:pPr>
      <w:r>
        <w:rPr>
          <w:sz w:val="28"/>
          <w:b/>
        </w:rPr>
        <w:t>采购项目编号：</w:t>
      </w:r>
      <w:r>
        <w:rPr>
          <w:sz w:val="28"/>
          <w:b/>
        </w:rPr>
        <w:t>SXBH-ZFCG-2024-142</w:t>
      </w:r>
      <w:r>
        <w:br/>
      </w:r>
      <w:r>
        <w:br/>
      </w:r>
      <w:r>
        <w:br/>
      </w:r>
    </w:p>
    <w:p>
      <w:pPr>
        <w:pStyle w:val="null3"/>
        <w:jc w:val="center"/>
        <w:outlineLvl w:val="2"/>
      </w:pPr>
      <w:r>
        <w:rPr>
          <w:sz w:val="28"/>
          <w:b/>
        </w:rPr>
        <w:t>铜川市耀州区人民检察院</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陕西北衡全项目咨询有限公司</w:t>
      </w:r>
      <w:r>
        <w:rPr/>
        <w:t>（以下简称“代理机构”）受</w:t>
      </w:r>
      <w:r>
        <w:rPr/>
        <w:t>铜川市耀州区人民检察院</w:t>
      </w:r>
      <w:r>
        <w:rPr/>
        <w:t>委托，拟对</w:t>
      </w:r>
      <w:r>
        <w:rPr/>
        <w:t>未成年人法治教育中心建设项目工程建设</w:t>
      </w:r>
      <w:r>
        <w:rPr/>
        <w:t>采用竞争性磋商采购方式进行采购，兹邀请供应商参加本项目的竞争性磋商。</w:t>
      </w:r>
    </w:p>
    <w:p>
      <w:pPr>
        <w:pStyle w:val="null3"/>
        <w:outlineLvl w:val="2"/>
      </w:pPr>
      <w:r>
        <w:rPr>
          <w:sz w:val="28"/>
          <w:b/>
        </w:rPr>
        <w:t>一、采购项目编号：</w:t>
      </w:r>
      <w:r>
        <w:rPr>
          <w:sz w:val="28"/>
          <w:b/>
        </w:rPr>
        <w:t>SXBH-ZFCG-2024-142</w:t>
      </w:r>
    </w:p>
    <w:p>
      <w:pPr>
        <w:pStyle w:val="null3"/>
        <w:outlineLvl w:val="2"/>
      </w:pPr>
      <w:r>
        <w:rPr>
          <w:sz w:val="28"/>
          <w:b/>
        </w:rPr>
        <w:t>二、采购项目名称：</w:t>
      </w:r>
      <w:r>
        <w:rPr>
          <w:sz w:val="28"/>
          <w:b/>
        </w:rPr>
        <w:t>未成年人法治教育中心建设项目工程建设</w:t>
      </w:r>
    </w:p>
    <w:p>
      <w:pPr>
        <w:pStyle w:val="null3"/>
        <w:outlineLvl w:val="2"/>
      </w:pPr>
      <w:r>
        <w:rPr>
          <w:sz w:val="28"/>
          <w:b/>
        </w:rPr>
        <w:t>三、磋商项目简介</w:t>
      </w:r>
    </w:p>
    <w:p>
      <w:pPr>
        <w:pStyle w:val="null3"/>
        <w:ind w:firstLine="480"/>
      </w:pPr>
      <w:r>
        <w:rPr/>
        <w:t>未成年人法治教育中心建设项目工程建设</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采购包1（未成年人法治教育中心建设项目工程建设）：属于专门面向中小企业采购。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1、营业执照等主体资格证明文件：提供有效存续的企业营业执照；（提供原件扫描件）</w:t>
      </w:r>
    </w:p>
    <w:p>
      <w:pPr>
        <w:pStyle w:val="null3"/>
      </w:pPr>
      <w:r>
        <w:rPr/>
        <w:t>2、拟派项目负责人资质和专业要求。：具有相关专业注册建造师二级（含二级）或以上资格证书，有效的安全生产考核合格证书（B证），在本单位注册且无在建项目。</w:t>
      </w:r>
    </w:p>
    <w:p>
      <w:pPr>
        <w:pStyle w:val="null3"/>
      </w:pPr>
      <w:r>
        <w:rPr/>
        <w:t>3、资质要求：具备建筑装修装饰工程专业承包二级及以上资质或建筑工程施工总承包三级及以上资质，有效的安全生产许可证；</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p>
      <w:pPr>
        <w:pStyle w:val="null3"/>
      </w:pPr>
      <w:r>
        <w:rPr/>
        <w:t>6、法定代表人证明书或法定代表人授权书：法定代表人参加磋商的，须提供法定代表人证明书及本人身份证扫描件；法定代表人授权他人参加磋商的，须提供法定代表人授权委托书及被授权人身份证扫描件。采购文件中凡是需要法定代表人签字盖章之处，非法人单位的负责人均参照执行；（提供原件扫描件）</w:t>
      </w:r>
    </w:p>
    <w:p>
      <w:pPr>
        <w:pStyle w:val="null3"/>
      </w:pPr>
      <w:r>
        <w:rPr/>
        <w:t>7、有依法缴纳税收的良好记录：提供磋商截止日前近六月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t>8、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w:t>
      </w:r>
    </w:p>
    <w:p>
      <w:pPr>
        <w:pStyle w:val="null3"/>
      </w:pPr>
      <w:r>
        <w:rPr/>
        <w:t>9、非联合体磋商：本项目不接受联合体磋商。（提供声明）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铜川市耀州区人民检察院</w:t>
      </w:r>
    </w:p>
    <w:p>
      <w:pPr>
        <w:pStyle w:val="null3"/>
      </w:pPr>
      <w:r>
        <w:rPr/>
        <w:t xml:space="preserve"> 地址： </w:t>
      </w:r>
      <w:r>
        <w:rPr/>
        <w:t>铜川市耀州区文营西路2号</w:t>
      </w:r>
    </w:p>
    <w:p>
      <w:pPr>
        <w:pStyle w:val="null3"/>
      </w:pPr>
      <w:r>
        <w:rPr/>
        <w:t xml:space="preserve"> 邮编： </w:t>
      </w:r>
      <w:r>
        <w:rPr/>
        <w:t>727000</w:t>
      </w:r>
    </w:p>
    <w:p>
      <w:pPr>
        <w:pStyle w:val="null3"/>
      </w:pPr>
      <w:r>
        <w:rPr/>
        <w:t xml:space="preserve"> 联系人： </w:t>
      </w:r>
      <w:r>
        <w:rPr/>
        <w:t>铜川市耀州区人民检察院经办</w:t>
      </w:r>
    </w:p>
    <w:p>
      <w:pPr>
        <w:pStyle w:val="null3"/>
      </w:pPr>
      <w:r>
        <w:rPr/>
        <w:t xml:space="preserve"> 联系电话： </w:t>
      </w:r>
      <w:r>
        <w:rPr/>
        <w:t>0919-6180228</w:t>
      </w:r>
    </w:p>
    <w:p>
      <w:pPr>
        <w:pStyle w:val="null3"/>
        <w:outlineLvl w:val="3"/>
      </w:pPr>
      <w:r>
        <w:rPr>
          <w:sz w:val="24"/>
          <w:b/>
        </w:rPr>
        <w:t>代理机构：</w:t>
      </w:r>
      <w:r>
        <w:rPr>
          <w:sz w:val="24"/>
          <w:b/>
        </w:rPr>
        <w:t>陕西北衡全项目咨询有限公司</w:t>
      </w:r>
    </w:p>
    <w:p>
      <w:pPr>
        <w:pStyle w:val="null3"/>
      </w:pPr>
      <w:r>
        <w:rPr/>
        <w:t xml:space="preserve"> 地址： </w:t>
      </w:r>
      <w:r>
        <w:rPr/>
        <w:t>陕西省铜川市印台区陕西省铜川市印台区城关街道办事处南苑社区惠民佳苑8号楼2楼</w:t>
      </w:r>
    </w:p>
    <w:p>
      <w:pPr>
        <w:pStyle w:val="null3"/>
      </w:pPr>
      <w:r>
        <w:rPr/>
        <w:t xml:space="preserve"> 邮编： </w:t>
      </w:r>
      <w:r>
        <w:rPr/>
        <w:t>727000</w:t>
      </w:r>
    </w:p>
    <w:p>
      <w:pPr>
        <w:pStyle w:val="null3"/>
      </w:pPr>
      <w:r>
        <w:rPr/>
        <w:t xml:space="preserve"> 联系人： </w:t>
      </w:r>
      <w:r>
        <w:rPr/>
        <w:t>霍少楠</w:t>
      </w:r>
    </w:p>
    <w:p>
      <w:pPr>
        <w:pStyle w:val="null3"/>
      </w:pPr>
      <w:r>
        <w:rPr/>
        <w:t xml:space="preserve"> 联系电话： </w:t>
      </w:r>
      <w:r>
        <w:rPr/>
        <w:t>0919-2700992</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采购包1：1,459,705.00元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铜川市耀州区人民检察院</w:t>
      </w:r>
      <w:r>
        <w:rPr/>
        <w:t>和</w:t>
      </w:r>
      <w:r>
        <w:rPr/>
        <w:t>陕西北衡全项目咨询有限公司</w:t>
      </w:r>
      <w:r>
        <w:rPr/>
        <w:t>享有。对磋商文件中供应商参加本次政府采购活动应当具备的条件，磋商项目技术、服务、商务及其他要求，评审细则及标准由</w:t>
      </w:r>
      <w:r>
        <w:rPr/>
        <w:t>铜川市耀州区人民检察院</w:t>
      </w:r>
      <w:r>
        <w:rPr/>
        <w:t>负责解释。除上述磋商文件内容，其他内容由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铜川市耀州区人民检察院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达到国家及行业质量验收标准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陕西北衡全项目咨询有限公司</w:t>
      </w:r>
      <w:r>
        <w:rPr/>
        <w:t xml:space="preserve"> 负责答复；供应商对采购过程的询问、质疑由</w:t>
      </w:r>
      <w:r>
        <w:rPr/>
        <w:t>陕西北衡全项目咨询有限公司</w:t>
      </w:r>
      <w:r>
        <w:rPr/>
        <w:t xml:space="preserve"> 负责答复；供应商对采购结果的询问、质疑由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联系人：霍少楠</w:t>
      </w:r>
    </w:p>
    <w:p>
      <w:pPr>
        <w:pStyle w:val="null3"/>
      </w:pPr>
      <w:r>
        <w:rPr/>
        <w:t>联系电话：0919-2700992</w:t>
      </w:r>
    </w:p>
    <w:p>
      <w:pPr>
        <w:pStyle w:val="null3"/>
      </w:pPr>
      <w:r>
        <w:rPr/>
        <w:t>地址：印台区惠民佳苑8号楼2楼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1,459,705.00</w:t>
      </w:r>
    </w:p>
    <w:p>
      <w:pPr>
        <w:pStyle w:val="null3"/>
      </w:pPr>
      <w:r>
        <w:rPr/>
        <w:t>采购包最高限价（元）: 1,459,705.00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未成年人法治教育中心建设项目工程建设</w:t>
            </w:r>
          </w:p>
        </w:tc>
        <w:tc>
          <w:tcPr>
            <w:tcW w:type="dxa" w:w="1384"/>
          </w:tcPr>
          <w:p>
            <w:pPr>
              <w:pStyle w:val="null3"/>
              <w:jc w:val="right"/>
            </w:pPr>
            <w:r>
              <w:rPr/>
              <w:t>1.00</w:t>
            </w:r>
          </w:p>
        </w:tc>
        <w:tc>
          <w:tcPr>
            <w:tcW w:type="dxa" w:w="1384"/>
          </w:tcPr>
          <w:p>
            <w:pPr>
              <w:pStyle w:val="null3"/>
              <w:jc w:val="right"/>
            </w:pPr>
            <w:r>
              <w:rPr/>
              <w:t>1,459,705.00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标的名称：未成年人法治教育中心建设项目工程建设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具体详见工程量清单 另附。</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符合国家及相关行业技术规范标准</w:t>
      </w:r>
    </w:p>
    <w:p>
      <w:pPr>
        <w:pStyle w:val="null3"/>
        <w:ind w:firstLine="480"/>
      </w:pPr>
      <w:r>
        <w:rPr/>
        <w:t>三、针对本项目的其他技术服务要求：</w:t>
      </w:r>
    </w:p>
    <w:p>
      <w:pPr>
        <w:pStyle w:val="null3"/>
      </w:pPr>
      <w:r>
        <w:rPr/>
        <w:t>商务要求：1）合同履行期限：30日历天2）合同履约地点：采购人指定地点3）支付方式：分期付款4）合同支付约定：付款条件说明：工程进度达到80%，达到付款条件起10日内，支付合同总金额的40.00%。工程竣工验收合格，达到付款条件起10日内，支付合同总金额的40.00%。工程审计完成，达到付款条件起10日内，支付合同总金额的20.00%。5）验收交付标准和方法：必须达到国家及行业现行技术规范标准，符合国家及行业验收合格标准。6）质量保修范围和保修期：质量保修范围：采购人及采购文件要求的全部内容。质保期2年（若供应商承诺保修期限超过磋商文件要求，按其承诺执行）。7）知识产权归属和处理方式：符合国家及行业相关标准。8）成本补偿和风险分担约定：依据《中华人民共和国民法典》、《中华人民共和国政府采购法》的相关条款和本项目合同约定的相关条款执行。9）违约责任与解决争议的方法：符合国家及行业相关标准。10）合同其他条款：合同一经签订，不得擅自变更、中止或者终止合同。对确需变更、调整或者中止、终止合同的，由双方协商解决。</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提供有效存续的企业营业执照；（提供原件扫描件）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拟派项目负责人资质和专业要求。</w:t>
            </w:r>
          </w:p>
        </w:tc>
        <w:tc>
          <w:tcPr>
            <w:tcW w:type="dxa" w:w="3322"/>
          </w:tcPr>
          <w:p>
            <w:pPr>
              <w:pStyle w:val="null3"/>
            </w:pPr>
            <w:r>
              <w:rPr/>
              <w:t>具有相关专业注册建造师二级（含二级）或以上资格证书，有效的安全生产考核合格证书（B证），在本单位注册且无在建项目。</w:t>
            </w:r>
          </w:p>
        </w:tc>
        <w:tc>
          <w:tcPr>
            <w:tcW w:type="dxa" w:w="1661"/>
          </w:tcPr>
          <w:p>
            <w:pPr>
              <w:pStyle w:val="null3"/>
            </w:pPr>
            <w:r>
              <w:rPr/>
              <w:t>项目管理机构组成表 供应商应提交的相关资格证明材料</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具备建筑装修装饰工程专业承包二级及以上资质或建筑工程施工总承包三级及以上资质，有效的安全生产许可证；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磋商的，须提供法定代表人证明书及本人身份证扫描件；法定代表人授权他人参加磋商的，须提供法定代表人授权委托书及被授权人身份证扫描件。采购文件中凡是需要法定代表人签字盖章之处，非法人单位的负责人均参照执行；（提供原件扫描件）</w:t>
            </w:r>
          </w:p>
        </w:tc>
        <w:tc>
          <w:tcPr>
            <w:tcW w:type="dxa" w:w="1661"/>
          </w:tcPr>
          <w:p>
            <w:pPr>
              <w:pStyle w:val="null3"/>
            </w:pPr>
            <w:r>
              <w:rPr/>
              <w:t>法人证明书 供应商应提交的相关资格证明材料 法人授权书</w:t>
            </w:r>
          </w:p>
        </w:tc>
      </w:tr>
      <w:tr>
        <w:tc>
          <w:tcPr>
            <w:tcW w:type="dxa" w:w="831"/>
          </w:tcPr>
          <w:p>
            <w:pPr>
              <w:pStyle w:val="null3"/>
            </w:pPr>
            <w:r>
              <w:rPr/>
              <w:t>7</w:t>
            </w:r>
          </w:p>
        </w:tc>
        <w:tc>
          <w:tcPr>
            <w:tcW w:type="dxa" w:w="2492"/>
          </w:tcPr>
          <w:p>
            <w:pPr>
              <w:pStyle w:val="null3"/>
            </w:pPr>
            <w:r>
              <w:rPr/>
              <w:t>有依法缴纳税收的良好记录</w:t>
            </w:r>
          </w:p>
        </w:tc>
        <w:tc>
          <w:tcPr>
            <w:tcW w:type="dxa" w:w="3322"/>
          </w:tcPr>
          <w:p>
            <w:pPr>
              <w:pStyle w:val="null3"/>
            </w:pPr>
            <w:r>
              <w:rPr/>
              <w:t>提供磋商截止日前近六月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有依法缴纳社会保障资金的良好记录</w:t>
            </w:r>
          </w:p>
        </w:tc>
        <w:tc>
          <w:tcPr>
            <w:tcW w:type="dxa" w:w="3322"/>
          </w:tcPr>
          <w:p>
            <w:pPr>
              <w:pStyle w:val="null3"/>
            </w:pPr>
            <w:r>
              <w:rPr/>
              <w:t>提供磋商截止日前近六个月内已缴存的至少一个月的社会保障资金缴存单据或社保机构开具的社会保险参保缴费情况证明。依法不需要缴纳社会保障资金的单位应提供相关证明材料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非联合体磋商</w:t>
            </w:r>
          </w:p>
        </w:tc>
        <w:tc>
          <w:tcPr>
            <w:tcW w:type="dxa" w:w="3322"/>
          </w:tcPr>
          <w:p>
            <w:pPr>
              <w:pStyle w:val="null3"/>
            </w:pPr>
            <w:r>
              <w:rPr/>
              <w:t>本项目不接受联合体磋商。（提供声明）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中小企业声明函 技术方案 技术服务合同条款及其他商务要求应答表 供应商应提交的相关资格证明材料 法人授权书 响应文件封面 法人证明书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磋商文件的规定和要求在响应文件中指定的页面落款处加盖公章、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t>已标价工程量清单 中小企业声明函 技术方案 技术服务合同条款及其他商务要求应答表 供应商应提交的相关资格证明材料 法人授权书 响应文件封面 法人证明书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响应文件所有报价未超过最高限价</w:t>
            </w:r>
          </w:p>
        </w:tc>
        <w:tc>
          <w:tcPr>
            <w:tcW w:type="dxa" w:w="1661"/>
          </w:tcPr>
          <w:p>
            <w:pPr>
              <w:pStyle w:val="null3"/>
            </w:pPr>
            <w:r>
              <w:rPr/>
              <w:t>已标价工程量清单 报价函 标的清单</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不得超过30个日历天</w:t>
            </w:r>
          </w:p>
        </w:tc>
        <w:tc>
          <w:tcPr>
            <w:tcW w:type="dxa" w:w="1661"/>
          </w:tcPr>
          <w:p>
            <w:pPr>
              <w:pStyle w:val="null3"/>
            </w:pPr>
            <w:r>
              <w:rPr/>
              <w:t>已标价工程量清单 报价函 标的清单 响应函</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A、供应商的投标报价有选择性报价或者投标报价重新计算后超过本项目采购预算或者最高限价的；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t>已标价工程量清单 中小企业声明函 技术方案 技术服务合同条款及其他商务要求应答表 供应商应提交的相关资格证明材料 法人授权书 响应文件封面 法人证明书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经过有效性和符合性审核合格的供应商，其商务条款响应符合磋商文件最低要求的计5分。优于磋商文件要求的每项另加1分，最多加1分。不完全响应最低要求的计0分。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施工方案</w:t>
            </w:r>
          </w:p>
        </w:tc>
        <w:tc>
          <w:tcPr>
            <w:tcW w:type="dxa" w:w="2492"/>
          </w:tcPr>
          <w:p>
            <w:pPr>
              <w:pStyle w:val="null3"/>
            </w:pPr>
            <w:r>
              <w:rPr/>
              <w:t>施工方案所涉及的施工内容及技术措施全面、详细。（8.1-12分）施工方案主要部分施工内容有缺项、不全面、较科学、较合理、较可行。（4.1-8分）施工方案较简单。（0.1-4分）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工程质量措施</w:t>
            </w:r>
          </w:p>
        </w:tc>
        <w:tc>
          <w:tcPr>
            <w:tcW w:type="dxa" w:w="2492"/>
          </w:tcPr>
          <w:p>
            <w:pPr>
              <w:pStyle w:val="null3"/>
            </w:pPr>
            <w:r>
              <w:rPr/>
              <w:t>工程质量的技术组织措有专门的质量技术管理机构和制度，且制度健全具有的质量管理体系；主要工序有质量技术保证措施和手段，能有效保证技术质量，承诺的质量标准达到采购要求。（2.6-5分）工程质量的技术组织措施较科学、较合理、较可行。（0.1-2.5分）工程质量的技术组织措施不科学、不合理、可行性较差。（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安全生产措施</w:t>
            </w:r>
          </w:p>
        </w:tc>
        <w:tc>
          <w:tcPr>
            <w:tcW w:type="dxa" w:w="2492"/>
          </w:tcPr>
          <w:p>
            <w:pPr>
              <w:pStyle w:val="null3"/>
            </w:pPr>
            <w:r>
              <w:rPr/>
              <w:t>安全生产的技术组织措施施工项目有专门的安全管理人员和制度，且制度健全；各道工序安全技术措施针对性强，符合实际且满足有关安全技术标准要求；现场防火、安全防护措施得力。（2.6-5分）安全生产的技术组织措施较科学、较合理、较可行。（0.1-2.5分）安全生产的技术组织措施不科学、不合理、可行性较差。（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工期措施</w:t>
            </w:r>
          </w:p>
        </w:tc>
        <w:tc>
          <w:tcPr>
            <w:tcW w:type="dxa" w:w="2492"/>
          </w:tcPr>
          <w:p>
            <w:pPr>
              <w:pStyle w:val="null3"/>
            </w:pPr>
            <w:r>
              <w:rPr/>
              <w:t>确保工期的技术组织措施在施工工艺、施工方法、材料选用、劳动力安排、机械设备、技术等方面有保证工期或提前竣工的具体措施且措施得当；有控制工期的施工进度计划。（2.6-5分）确保工期的技术组织措施较科学、较合理、较可行。（0.1-2.5分）确保工期的技术组织措施不科学、不合理、可行性较差。（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文明施工及环境保护措施</w:t>
            </w:r>
          </w:p>
        </w:tc>
        <w:tc>
          <w:tcPr>
            <w:tcW w:type="dxa" w:w="2492"/>
          </w:tcPr>
          <w:p>
            <w:pPr>
              <w:pStyle w:val="null3"/>
            </w:pPr>
            <w:r>
              <w:rPr/>
              <w:t>针对本工程项目特点，应有文明施工计划及措施，环境保环境保护措施，且计划措施内容达到“安全文明示范工地”标准；各项措施周全、具体、有效；提供针对本项目编制垃圾清运现场环保措施、运输保证措施。（1.6-3分）文明施工措施较科学、较合理、较可行。（0.1-1.5分）文明施工措施不科学、不合理、可行性较差。（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图表清晰，主要工序全面，平行、间歇、搭接时间安排合理，流水节拍大小得当。（1.6-3分）具有图表，整体安排较合理，未能全面体现施工内容的衔接。（0.1-1.5分）具有图表，整体安排混乱。（0分）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应急措施</w:t>
            </w:r>
          </w:p>
        </w:tc>
        <w:tc>
          <w:tcPr>
            <w:tcW w:type="dxa" w:w="2492"/>
          </w:tcPr>
          <w:p>
            <w:pPr>
              <w:pStyle w:val="null3"/>
            </w:pPr>
            <w:r>
              <w:rPr/>
              <w:t>有针对本项目编制应急处理措施，包括恶劣天气影响、自然灾害、疫情等特殊情况制定应急处置。（得3分）无应急处理措施（得0分）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劳动力安排计划</w:t>
            </w:r>
          </w:p>
        </w:tc>
        <w:tc>
          <w:tcPr>
            <w:tcW w:type="dxa" w:w="2492"/>
          </w:tcPr>
          <w:p>
            <w:pPr>
              <w:pStyle w:val="null3"/>
            </w:pPr>
            <w:r>
              <w:rPr/>
              <w:t>各主要施工工序应有详细周密的劳动力安排计划明细，有各工种劳动力安排计划，劳动力投入经济合理，满足施工需要。（2.6-5分）拟投入的劳动力较充分、基本满足项目需要。（0.1-2.5分）拟投入的劳动力不充分、不能满足项目需要或无图表。（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投入的施工机械、设备、机具有详细计划且计划周密，设备数量、选型配置、进场数量、进场时间等计划安排满足施工需要和材料充分。（2.1-4分）拟投入的机械设备和材料较充分、基本满足项目需要。（0.1-2分）拟投入的机械设备和材料不充分、不能满足项目需要或无图表。（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施工总平面布置</w:t>
            </w:r>
          </w:p>
        </w:tc>
        <w:tc>
          <w:tcPr>
            <w:tcW w:type="dxa" w:w="2492"/>
          </w:tcPr>
          <w:p>
            <w:pPr>
              <w:pStyle w:val="null3"/>
            </w:pPr>
            <w:r>
              <w:rPr/>
              <w:t>施工总平面布置图规划合理并附文字说明（3分）；无施工总平面布置（得0分）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采用新技术、新产品、新工艺、新材料对提高质量、缩短工期、降低造价有积极影响。（提供得3分，不提供不得分）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项目业绩</w:t>
            </w:r>
          </w:p>
        </w:tc>
        <w:tc>
          <w:tcPr>
            <w:tcW w:type="dxa" w:w="2492"/>
          </w:tcPr>
          <w:p>
            <w:pPr>
              <w:pStyle w:val="null3"/>
            </w:pPr>
            <w:r>
              <w:rPr/>
              <w:t>提供2021年至今已完工类似项目业绩（提供中标通知书或合同复印件加盖公章）。每份计2分，计满10分为止。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项目经理部</w:t>
            </w:r>
          </w:p>
        </w:tc>
        <w:tc>
          <w:tcPr>
            <w:tcW w:type="dxa" w:w="2492"/>
          </w:tcPr>
          <w:p>
            <w:pPr>
              <w:pStyle w:val="null3"/>
            </w:pPr>
            <w:r>
              <w:rPr/>
              <w:t>拟派项目组人员具备：技术负责人、资料员、质量员、施工员、专职安全员等每提供一个岗位证或职称证得0.5分（岗位证重复不计分），最高得3分，未提供不得分。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主要人员简历表</w:t>
            </w:r>
          </w:p>
          <w:p>
            <w:pPr>
              <w:pStyle w:val="null3"/>
            </w:pPr>
            <w:r>
              <w:rPr/>
              <w:t>项目管理机构组成表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报价最低的磋商评审价为磋商基准价，其价格分为满分。其他供应商的价格分统一按照下列公式计算：有效报价得分=（磋商基准价/磋商评审价）×价格权值×100备注：磋商评审价=最后磋商报价×（1-磋商报价折扣幅度）</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详见附件：技术方案</w:t>
      </w:r>
    </w:p>
    <w:p>
      <w:pPr>
        <w:pStyle w:val="null3"/>
        <w:ind w:firstLine="960"/>
      </w:pPr>
      <w:r>
        <w:rPr/>
        <w:t>详见附件：法人授权书</w:t>
      </w:r>
    </w:p>
    <w:p>
      <w:pPr>
        <w:pStyle w:val="null3"/>
        <w:ind w:firstLine="960"/>
      </w:pPr>
      <w:r>
        <w:rPr/>
        <w:t>详见附件：法人证明书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详见附件：建设工程施工合同（示范文本）仅供参考.docx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